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CB" w:rsidRPr="006C11CB" w:rsidRDefault="006C11CB" w:rsidP="006C11CB">
      <w:pPr>
        <w:spacing w:before="384"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6C11CB">
        <w:rPr>
          <w:rFonts w:ascii="Times New Roman" w:eastAsia="Times New Roman" w:hAnsi="Times New Roman" w:cs="Times New Roman"/>
          <w:color w:val="333333"/>
          <w:sz w:val="45"/>
          <w:szCs w:val="45"/>
          <w:lang w:eastAsia="ru-RU"/>
        </w:rPr>
        <w:t>МИНИСТЕРСТВО ФИНАНСОВ РОССИЙСКОЙ ФЕДЕРАЦИИ</w:t>
      </w:r>
    </w:p>
    <w:p w:rsidR="006C11CB" w:rsidRPr="006C11CB" w:rsidRDefault="006C11CB" w:rsidP="006C11CB">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6C11CB">
        <w:rPr>
          <w:rFonts w:ascii="Times New Roman" w:eastAsia="Times New Roman" w:hAnsi="Times New Roman" w:cs="Times New Roman"/>
          <w:color w:val="333333"/>
          <w:sz w:val="45"/>
          <w:szCs w:val="45"/>
          <w:lang w:eastAsia="ru-RU"/>
        </w:rPr>
        <w:t>ПИСЬМО</w:t>
      </w:r>
      <w:r w:rsidRPr="006C11CB">
        <w:rPr>
          <w:rFonts w:ascii="Times New Roman" w:eastAsia="Times New Roman" w:hAnsi="Times New Roman" w:cs="Times New Roman"/>
          <w:color w:val="333333"/>
          <w:sz w:val="45"/>
          <w:szCs w:val="45"/>
          <w:lang w:eastAsia="ru-RU"/>
        </w:rPr>
        <w:br/>
        <w:t>от 1 марта 2013 г. N 03-07-11/6175</w:t>
      </w:r>
    </w:p>
    <w:p w:rsidR="006C11CB" w:rsidRPr="006C11CB" w:rsidRDefault="006C11CB" w:rsidP="006C11CB">
      <w:pPr>
        <w:spacing w:before="360" w:after="0" w:line="360" w:lineRule="atLeast"/>
        <w:textAlignment w:val="baseline"/>
        <w:rPr>
          <w:rFonts w:ascii="Times New Roman" w:eastAsia="Times New Roman" w:hAnsi="Times New Roman" w:cs="Times New Roman"/>
          <w:color w:val="333333"/>
          <w:sz w:val="27"/>
          <w:szCs w:val="27"/>
          <w:lang w:eastAsia="ru-RU"/>
        </w:rPr>
      </w:pPr>
      <w:proofErr w:type="gramStart"/>
      <w:r w:rsidRPr="006C11CB">
        <w:rPr>
          <w:rFonts w:ascii="Times New Roman" w:eastAsia="Times New Roman" w:hAnsi="Times New Roman" w:cs="Times New Roman"/>
          <w:color w:val="333333"/>
          <w:sz w:val="27"/>
          <w:szCs w:val="27"/>
          <w:lang w:eastAsia="ru-RU"/>
        </w:rPr>
        <w:t>В связи с письмом по вопросам определения налоговой базы по налогу на добавленную стоимость</w:t>
      </w:r>
      <w:proofErr w:type="gramEnd"/>
      <w:r w:rsidRPr="006C11CB">
        <w:rPr>
          <w:rFonts w:ascii="Times New Roman" w:eastAsia="Times New Roman" w:hAnsi="Times New Roman" w:cs="Times New Roman"/>
          <w:color w:val="333333"/>
          <w:sz w:val="27"/>
          <w:szCs w:val="27"/>
          <w:lang w:eastAsia="ru-RU"/>
        </w:rPr>
        <w:t xml:space="preserve"> при совершении сделок между взаимозависимыми лицами, являющимися налогоплательщиками налога на добавленную стоимость, Департамент налоговой и таможенно-тарифной политики сообщает следующее.</w:t>
      </w:r>
    </w:p>
    <w:p w:rsidR="006C11CB" w:rsidRPr="006C11CB" w:rsidRDefault="006C11CB" w:rsidP="006C11CB">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6C11CB">
        <w:rPr>
          <w:rFonts w:ascii="Times New Roman" w:eastAsia="Times New Roman" w:hAnsi="Times New Roman" w:cs="Times New Roman"/>
          <w:color w:val="333333"/>
          <w:sz w:val="27"/>
          <w:szCs w:val="27"/>
          <w:lang w:eastAsia="ru-RU"/>
        </w:rPr>
        <w:t>В соответствии с </w:t>
      </w:r>
      <w:hyperlink r:id="rId5" w:anchor="l160" w:tgtFrame="_blank" w:history="1">
        <w:r w:rsidRPr="00224FBF">
          <w:rPr>
            <w:rFonts w:ascii="Times New Roman" w:eastAsia="Times New Roman" w:hAnsi="Times New Roman" w:cs="Times New Roman"/>
            <w:color w:val="333333"/>
            <w:sz w:val="27"/>
            <w:szCs w:val="27"/>
            <w:lang w:eastAsia="ru-RU"/>
          </w:rPr>
          <w:t>п. 1</w:t>
        </w:r>
      </w:hyperlink>
      <w:r w:rsidRPr="006C11CB">
        <w:rPr>
          <w:rFonts w:ascii="Times New Roman" w:eastAsia="Times New Roman" w:hAnsi="Times New Roman" w:cs="Times New Roman"/>
          <w:color w:val="333333"/>
          <w:sz w:val="27"/>
          <w:szCs w:val="27"/>
          <w:lang w:eastAsia="ru-RU"/>
        </w:rPr>
        <w:t> ст. 154 Налогового кодекса Российской Федерации (далее - Кодекс) налоговая база по налогу на добавленную стоимость при реализации налогоплательщиком товаров (работ, услуг), если иное не предусмотрено данной статьей, определяется как стоимость этих товаров (работ, услуг), исчисленная исходя из цен, определяемых в соответствии со </w:t>
      </w:r>
      <w:hyperlink r:id="rId6" w:anchor="l4062" w:tgtFrame="_blank" w:history="1">
        <w:r w:rsidRPr="00224FBF">
          <w:rPr>
            <w:rFonts w:ascii="Times New Roman" w:eastAsia="Times New Roman" w:hAnsi="Times New Roman" w:cs="Times New Roman"/>
            <w:color w:val="333333"/>
            <w:sz w:val="27"/>
            <w:szCs w:val="27"/>
            <w:lang w:eastAsia="ru-RU"/>
          </w:rPr>
          <w:t>ст. 105.3</w:t>
        </w:r>
      </w:hyperlink>
      <w:r w:rsidRPr="006C11CB">
        <w:rPr>
          <w:rFonts w:ascii="Times New Roman" w:eastAsia="Times New Roman" w:hAnsi="Times New Roman" w:cs="Times New Roman"/>
          <w:color w:val="333333"/>
          <w:sz w:val="27"/>
          <w:szCs w:val="27"/>
          <w:lang w:eastAsia="ru-RU"/>
        </w:rPr>
        <w:t> Кодекса, с учетом акцизов (для подакцизных товаров) и без включения в</w:t>
      </w:r>
      <w:proofErr w:type="gramEnd"/>
      <w:r w:rsidRPr="006C11CB">
        <w:rPr>
          <w:rFonts w:ascii="Times New Roman" w:eastAsia="Times New Roman" w:hAnsi="Times New Roman" w:cs="Times New Roman"/>
          <w:color w:val="333333"/>
          <w:sz w:val="27"/>
          <w:szCs w:val="27"/>
          <w:lang w:eastAsia="ru-RU"/>
        </w:rPr>
        <w:t xml:space="preserve"> них налога.</w:t>
      </w:r>
      <w:bookmarkStart w:id="0" w:name="l1"/>
      <w:bookmarkEnd w:id="0"/>
    </w:p>
    <w:p w:rsidR="006C11CB" w:rsidRPr="006C11CB" w:rsidRDefault="00224FBF" w:rsidP="006C11CB">
      <w:pPr>
        <w:spacing w:after="0" w:line="360" w:lineRule="atLeast"/>
        <w:textAlignment w:val="baseline"/>
        <w:rPr>
          <w:rFonts w:ascii="Times New Roman" w:eastAsia="Times New Roman" w:hAnsi="Times New Roman" w:cs="Times New Roman"/>
          <w:color w:val="333333"/>
          <w:sz w:val="27"/>
          <w:szCs w:val="27"/>
          <w:lang w:eastAsia="ru-RU"/>
        </w:rPr>
      </w:pPr>
      <w:hyperlink r:id="rId7" w:anchor="l4062" w:tgtFrame="_blank" w:history="1">
        <w:r w:rsidR="006C11CB" w:rsidRPr="00224FBF">
          <w:rPr>
            <w:rFonts w:ascii="Times New Roman" w:eastAsia="Times New Roman" w:hAnsi="Times New Roman" w:cs="Times New Roman"/>
            <w:color w:val="333333"/>
            <w:sz w:val="27"/>
            <w:szCs w:val="27"/>
            <w:lang w:eastAsia="ru-RU"/>
          </w:rPr>
          <w:t>Статьей 105.3</w:t>
        </w:r>
      </w:hyperlink>
      <w:r w:rsidR="006C11CB" w:rsidRPr="006C11CB">
        <w:rPr>
          <w:rFonts w:ascii="Times New Roman" w:eastAsia="Times New Roman" w:hAnsi="Times New Roman" w:cs="Times New Roman"/>
          <w:color w:val="333333"/>
          <w:sz w:val="27"/>
          <w:szCs w:val="27"/>
          <w:lang w:eastAsia="ru-RU"/>
        </w:rPr>
        <w:t xml:space="preserve"> Кодекса установлены общие положения о налогообложении в сделках между взаимозависимыми лицами, в соответствии </w:t>
      </w:r>
      <w:proofErr w:type="gramStart"/>
      <w:r w:rsidR="006C11CB" w:rsidRPr="006C11CB">
        <w:rPr>
          <w:rFonts w:ascii="Times New Roman" w:eastAsia="Times New Roman" w:hAnsi="Times New Roman" w:cs="Times New Roman"/>
          <w:color w:val="333333"/>
          <w:sz w:val="27"/>
          <w:szCs w:val="27"/>
          <w:lang w:eastAsia="ru-RU"/>
        </w:rPr>
        <w:t>с</w:t>
      </w:r>
      <w:proofErr w:type="gramEnd"/>
      <w:r w:rsidR="006C11CB" w:rsidRPr="006C11CB">
        <w:rPr>
          <w:rFonts w:ascii="Times New Roman" w:eastAsia="Times New Roman" w:hAnsi="Times New Roman" w:cs="Times New Roman"/>
          <w:color w:val="333333"/>
          <w:sz w:val="27"/>
          <w:szCs w:val="27"/>
          <w:lang w:eastAsia="ru-RU"/>
        </w:rPr>
        <w:t xml:space="preserve"> которой </w:t>
      </w:r>
      <w:proofErr w:type="gramStart"/>
      <w:r w:rsidR="006C11CB" w:rsidRPr="006C11CB">
        <w:rPr>
          <w:rFonts w:ascii="Times New Roman" w:eastAsia="Times New Roman" w:hAnsi="Times New Roman" w:cs="Times New Roman"/>
          <w:color w:val="333333"/>
          <w:sz w:val="27"/>
          <w:szCs w:val="27"/>
          <w:lang w:eastAsia="ru-RU"/>
        </w:rPr>
        <w:t>взаимозависимые лица, устанавливая цены в сделках между собой, для целей налогообложения должны руководствоваться принципом, указанным в </w:t>
      </w:r>
      <w:hyperlink r:id="rId8" w:anchor="l4062" w:tgtFrame="_blank" w:history="1">
        <w:r w:rsidR="006C11CB" w:rsidRPr="00224FBF">
          <w:rPr>
            <w:rFonts w:ascii="Times New Roman" w:eastAsia="Times New Roman" w:hAnsi="Times New Roman" w:cs="Times New Roman"/>
            <w:color w:val="333333"/>
            <w:sz w:val="27"/>
            <w:szCs w:val="27"/>
            <w:lang w:eastAsia="ru-RU"/>
          </w:rPr>
          <w:t>п. 1</w:t>
        </w:r>
      </w:hyperlink>
      <w:r w:rsidR="006C11CB" w:rsidRPr="006C11CB">
        <w:rPr>
          <w:rFonts w:ascii="Times New Roman" w:eastAsia="Times New Roman" w:hAnsi="Times New Roman" w:cs="Times New Roman"/>
          <w:color w:val="333333"/>
          <w:sz w:val="27"/>
          <w:szCs w:val="27"/>
          <w:lang w:eastAsia="ru-RU"/>
        </w:rPr>
        <w:t> ст. 105.3 Кодекса, о применении общепринятого в мировой практике принципа "вытянутой руки", а именно: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w:t>
      </w:r>
      <w:proofErr w:type="gramEnd"/>
      <w:r w:rsidR="006C11CB" w:rsidRPr="006C11CB">
        <w:rPr>
          <w:rFonts w:ascii="Times New Roman" w:eastAsia="Times New Roman" w:hAnsi="Times New Roman" w:cs="Times New Roman"/>
          <w:color w:val="333333"/>
          <w:sz w:val="27"/>
          <w:szCs w:val="27"/>
          <w:lang w:eastAsia="ru-RU"/>
        </w:rPr>
        <w:t> </w:t>
      </w:r>
      <w:hyperlink r:id="rId9" w:anchor="l3762" w:tgtFrame="_blank" w:history="1">
        <w:r w:rsidR="006C11CB" w:rsidRPr="00224FBF">
          <w:rPr>
            <w:rFonts w:ascii="Times New Roman" w:eastAsia="Times New Roman" w:hAnsi="Times New Roman" w:cs="Times New Roman"/>
            <w:color w:val="333333"/>
            <w:sz w:val="27"/>
            <w:szCs w:val="27"/>
            <w:lang w:eastAsia="ru-RU"/>
          </w:rPr>
          <w:t>разд. V.I</w:t>
        </w:r>
      </w:hyperlink>
      <w:r w:rsidR="006C11CB" w:rsidRPr="006C11CB">
        <w:rPr>
          <w:rFonts w:ascii="Times New Roman" w:eastAsia="Times New Roman" w:hAnsi="Times New Roman" w:cs="Times New Roman"/>
          <w:color w:val="333333"/>
          <w:sz w:val="27"/>
          <w:szCs w:val="27"/>
          <w:lang w:eastAsia="ru-RU"/>
        </w:rPr>
        <w:t> Кодекса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ими получены, учитываются для целей налогообложения у этого лица.</w:t>
      </w:r>
      <w:bookmarkStart w:id="1" w:name="l10"/>
      <w:bookmarkStart w:id="2" w:name="l2"/>
      <w:bookmarkStart w:id="3" w:name="l11"/>
      <w:bookmarkStart w:id="4" w:name="l3"/>
      <w:bookmarkEnd w:id="1"/>
      <w:bookmarkEnd w:id="2"/>
      <w:bookmarkEnd w:id="3"/>
      <w:bookmarkEnd w:id="4"/>
    </w:p>
    <w:p w:rsidR="006C11CB" w:rsidRPr="006C11CB" w:rsidRDefault="006C11CB" w:rsidP="006C11CB">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6C11CB">
        <w:rPr>
          <w:rFonts w:ascii="Times New Roman" w:eastAsia="Times New Roman" w:hAnsi="Times New Roman" w:cs="Times New Roman"/>
          <w:color w:val="333333"/>
          <w:sz w:val="27"/>
          <w:szCs w:val="27"/>
          <w:lang w:eastAsia="ru-RU"/>
        </w:rPr>
        <w:t>В случаях совершения взаимозависимыми лицами сделок, не отвечающих признакам контролируемых, в которых исчисление налоговой базы осуществляется на основании положений отдельных статей части второй Кодекса исходя из цен, определяемых в соответствии со </w:t>
      </w:r>
      <w:hyperlink r:id="rId10" w:anchor="l4062" w:tgtFrame="_blank" w:history="1">
        <w:r w:rsidRPr="00224FBF">
          <w:rPr>
            <w:rFonts w:ascii="Times New Roman" w:eastAsia="Times New Roman" w:hAnsi="Times New Roman" w:cs="Times New Roman"/>
            <w:color w:val="333333"/>
            <w:sz w:val="27"/>
            <w:szCs w:val="27"/>
            <w:lang w:eastAsia="ru-RU"/>
          </w:rPr>
          <w:t>ст. 105.3</w:t>
        </w:r>
      </w:hyperlink>
      <w:r w:rsidRPr="006C11CB">
        <w:rPr>
          <w:rFonts w:ascii="Times New Roman" w:eastAsia="Times New Roman" w:hAnsi="Times New Roman" w:cs="Times New Roman"/>
          <w:color w:val="333333"/>
          <w:sz w:val="27"/>
          <w:szCs w:val="27"/>
          <w:lang w:eastAsia="ru-RU"/>
        </w:rPr>
        <w:t> Кодекса, в целях определения фактической цены сделки со стороны налоговых органов возможно применение методов, установленных </w:t>
      </w:r>
      <w:hyperlink r:id="rId11" w:anchor="l4108" w:tgtFrame="_blank" w:history="1">
        <w:r w:rsidRPr="00224FBF">
          <w:rPr>
            <w:rFonts w:ascii="Times New Roman" w:eastAsia="Times New Roman" w:hAnsi="Times New Roman" w:cs="Times New Roman"/>
            <w:color w:val="333333"/>
            <w:sz w:val="27"/>
            <w:szCs w:val="27"/>
            <w:lang w:eastAsia="ru-RU"/>
          </w:rPr>
          <w:t>гл. 14.3</w:t>
        </w:r>
      </w:hyperlink>
      <w:r w:rsidRPr="006C11CB">
        <w:rPr>
          <w:rFonts w:ascii="Times New Roman" w:eastAsia="Times New Roman" w:hAnsi="Times New Roman" w:cs="Times New Roman"/>
          <w:color w:val="333333"/>
          <w:sz w:val="27"/>
          <w:szCs w:val="27"/>
          <w:lang w:eastAsia="ru-RU"/>
        </w:rPr>
        <w:t> Кодекса.</w:t>
      </w:r>
      <w:proofErr w:type="gramEnd"/>
    </w:p>
    <w:p w:rsidR="006C11CB" w:rsidRPr="006C11CB" w:rsidRDefault="00224FBF" w:rsidP="006C11CB">
      <w:pPr>
        <w:spacing w:after="0" w:line="360" w:lineRule="atLeast"/>
        <w:textAlignment w:val="baseline"/>
        <w:rPr>
          <w:rFonts w:ascii="Times New Roman" w:eastAsia="Times New Roman" w:hAnsi="Times New Roman" w:cs="Times New Roman"/>
          <w:color w:val="333333"/>
          <w:sz w:val="27"/>
          <w:szCs w:val="27"/>
          <w:lang w:eastAsia="ru-RU"/>
        </w:rPr>
      </w:pPr>
      <w:hyperlink r:id="rId12" w:anchor="l4069" w:tgtFrame="_blank" w:history="1">
        <w:r w:rsidR="006C11CB" w:rsidRPr="00224FBF">
          <w:rPr>
            <w:rFonts w:ascii="Times New Roman" w:eastAsia="Times New Roman" w:hAnsi="Times New Roman" w:cs="Times New Roman"/>
            <w:color w:val="333333"/>
            <w:sz w:val="27"/>
            <w:szCs w:val="27"/>
            <w:lang w:eastAsia="ru-RU"/>
          </w:rPr>
          <w:t>Пунктом 6</w:t>
        </w:r>
      </w:hyperlink>
      <w:r w:rsidR="006C11CB" w:rsidRPr="006C11CB">
        <w:rPr>
          <w:rFonts w:ascii="Times New Roman" w:eastAsia="Times New Roman" w:hAnsi="Times New Roman" w:cs="Times New Roman"/>
          <w:color w:val="333333"/>
          <w:sz w:val="27"/>
          <w:szCs w:val="27"/>
          <w:lang w:eastAsia="ru-RU"/>
        </w:rPr>
        <w:t xml:space="preserve"> ст. 105.3 Кодекса установлено право налогоплательщика самостоятельно </w:t>
      </w:r>
      <w:proofErr w:type="gramStart"/>
      <w:r w:rsidR="006C11CB" w:rsidRPr="006C11CB">
        <w:rPr>
          <w:rFonts w:ascii="Times New Roman" w:eastAsia="Times New Roman" w:hAnsi="Times New Roman" w:cs="Times New Roman"/>
          <w:color w:val="333333"/>
          <w:sz w:val="27"/>
          <w:szCs w:val="27"/>
          <w:lang w:eastAsia="ru-RU"/>
        </w:rPr>
        <w:t>произвести</w:t>
      </w:r>
      <w:proofErr w:type="gramEnd"/>
      <w:r w:rsidR="006C11CB" w:rsidRPr="006C11CB">
        <w:rPr>
          <w:rFonts w:ascii="Times New Roman" w:eastAsia="Times New Roman" w:hAnsi="Times New Roman" w:cs="Times New Roman"/>
          <w:color w:val="333333"/>
          <w:sz w:val="27"/>
          <w:szCs w:val="27"/>
          <w:lang w:eastAsia="ru-RU"/>
        </w:rPr>
        <w:t xml:space="preserve"> корректировку налоговой базы и сумм </w:t>
      </w:r>
      <w:r w:rsidR="006C11CB" w:rsidRPr="006C11CB">
        <w:rPr>
          <w:rFonts w:ascii="Times New Roman" w:eastAsia="Times New Roman" w:hAnsi="Times New Roman" w:cs="Times New Roman"/>
          <w:color w:val="333333"/>
          <w:sz w:val="27"/>
          <w:szCs w:val="27"/>
          <w:lang w:eastAsia="ru-RU"/>
        </w:rPr>
        <w:lastRenderedPageBreak/>
        <w:t>соответствующих налогов по истечении календарного года, включающего налоговый период (налоговые периоды), в том числе по налогу на добавленную стоимость.</w:t>
      </w:r>
      <w:bookmarkStart w:id="5" w:name="l4"/>
      <w:bookmarkEnd w:id="5"/>
    </w:p>
    <w:p w:rsidR="006C11CB" w:rsidRPr="006C11CB" w:rsidRDefault="006C11CB" w:rsidP="006C11CB">
      <w:pPr>
        <w:spacing w:after="0" w:line="360" w:lineRule="atLeast"/>
        <w:textAlignment w:val="baseline"/>
        <w:rPr>
          <w:rFonts w:ascii="Times New Roman" w:eastAsia="Times New Roman" w:hAnsi="Times New Roman" w:cs="Times New Roman"/>
          <w:color w:val="333333"/>
          <w:sz w:val="27"/>
          <w:szCs w:val="27"/>
          <w:lang w:eastAsia="ru-RU"/>
        </w:rPr>
      </w:pPr>
      <w:r w:rsidRPr="006C11CB">
        <w:rPr>
          <w:rFonts w:ascii="Times New Roman" w:eastAsia="Times New Roman" w:hAnsi="Times New Roman" w:cs="Times New Roman"/>
          <w:color w:val="333333"/>
          <w:sz w:val="27"/>
          <w:szCs w:val="27"/>
          <w:lang w:eastAsia="ru-RU"/>
        </w:rPr>
        <w:t>Корректировки по налогу на добавленную стоимость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 При этом необходимо учитывать, что согласно </w:t>
      </w:r>
      <w:hyperlink r:id="rId13" w:anchor="l3768" w:tgtFrame="_blank" w:history="1">
        <w:r w:rsidRPr="00224FBF">
          <w:rPr>
            <w:rFonts w:ascii="Times New Roman" w:eastAsia="Times New Roman" w:hAnsi="Times New Roman" w:cs="Times New Roman"/>
            <w:color w:val="333333"/>
            <w:sz w:val="27"/>
            <w:szCs w:val="27"/>
            <w:lang w:eastAsia="ru-RU"/>
          </w:rPr>
          <w:t>ст. 168</w:t>
        </w:r>
      </w:hyperlink>
      <w:r w:rsidRPr="006C11CB">
        <w:rPr>
          <w:rFonts w:ascii="Times New Roman" w:eastAsia="Times New Roman" w:hAnsi="Times New Roman" w:cs="Times New Roman"/>
          <w:color w:val="333333"/>
          <w:sz w:val="27"/>
          <w:szCs w:val="27"/>
          <w:lang w:eastAsia="ru-RU"/>
        </w:rPr>
        <w:t> Кодекса при реализации товаров (работ, услуг) налогоплательщик дополнительно к цене (тарифу) реализуемых товаров (работ, услуг) обязан предъявить к оплате покупателю этих товаров (работ, услуг) соответствующую сумму налога на добавленную стоимость путем выставления счетов-фактур. Поскольку при указанной корректировке налоговой базы сумма налога на добавленную стоимость покупателю не предъявляется, то для выставления продавцом счетов-фактур, в которых указывается откорректированная налоговая база и сумма налога на добавленную стоимость, оснований не имеется. Соответственно, покупатель товаров (работ, услуг) принятые к вычету суммы налога не корректирует.</w:t>
      </w:r>
      <w:bookmarkStart w:id="6" w:name="l12"/>
      <w:bookmarkStart w:id="7" w:name="l5"/>
      <w:bookmarkStart w:id="8" w:name="l13"/>
      <w:bookmarkStart w:id="9" w:name="l6"/>
      <w:bookmarkEnd w:id="6"/>
      <w:bookmarkEnd w:id="7"/>
      <w:bookmarkEnd w:id="8"/>
      <w:bookmarkEnd w:id="9"/>
    </w:p>
    <w:p w:rsidR="006C11CB" w:rsidRPr="006C11CB" w:rsidRDefault="006C11CB" w:rsidP="006C11CB">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6C11CB">
        <w:rPr>
          <w:rFonts w:ascii="Times New Roman" w:eastAsia="Times New Roman" w:hAnsi="Times New Roman" w:cs="Times New Roman"/>
          <w:color w:val="333333"/>
          <w:sz w:val="27"/>
          <w:szCs w:val="27"/>
          <w:lang w:eastAsia="ru-RU"/>
        </w:rPr>
        <w:t>Следует отметить, что осуществление симметричной корректировки российскими организациями - налогоплательщиками, являющимися другими сторонами контролируемой сделки, при исчислении налогов, указанных в </w:t>
      </w:r>
      <w:hyperlink r:id="rId14" w:anchor="l4066" w:tgtFrame="_blank" w:history="1">
        <w:r w:rsidRPr="00224FBF">
          <w:rPr>
            <w:rFonts w:ascii="Times New Roman" w:eastAsia="Times New Roman" w:hAnsi="Times New Roman" w:cs="Times New Roman"/>
            <w:color w:val="333333"/>
            <w:sz w:val="27"/>
            <w:szCs w:val="27"/>
            <w:lang w:eastAsia="ru-RU"/>
          </w:rPr>
          <w:t>п. 4</w:t>
        </w:r>
      </w:hyperlink>
      <w:r w:rsidRPr="006C11CB">
        <w:rPr>
          <w:rFonts w:ascii="Times New Roman" w:eastAsia="Times New Roman" w:hAnsi="Times New Roman" w:cs="Times New Roman"/>
          <w:color w:val="333333"/>
          <w:sz w:val="27"/>
          <w:szCs w:val="27"/>
          <w:lang w:eastAsia="ru-RU"/>
        </w:rPr>
        <w:t> ст. 105.3 Кодекса, в том числе налога на добавленную стоимость, возможно в соответствии с положениями </w:t>
      </w:r>
      <w:hyperlink r:id="rId15" w:anchor="l4537" w:tgtFrame="_blank" w:history="1">
        <w:r w:rsidRPr="00224FBF">
          <w:rPr>
            <w:rFonts w:ascii="Times New Roman" w:eastAsia="Times New Roman" w:hAnsi="Times New Roman" w:cs="Times New Roman"/>
            <w:color w:val="333333"/>
            <w:sz w:val="27"/>
            <w:szCs w:val="27"/>
            <w:lang w:eastAsia="ru-RU"/>
          </w:rPr>
          <w:t>ст. 105.18</w:t>
        </w:r>
      </w:hyperlink>
      <w:r w:rsidRPr="006C11CB">
        <w:rPr>
          <w:rFonts w:ascii="Times New Roman" w:eastAsia="Times New Roman" w:hAnsi="Times New Roman" w:cs="Times New Roman"/>
          <w:color w:val="333333"/>
          <w:sz w:val="27"/>
          <w:szCs w:val="27"/>
          <w:lang w:eastAsia="ru-RU"/>
        </w:rPr>
        <w:t> Кодекса и заключается в применении цен, на основании которых ФНС России осуществлена корректировка налоговой базы и суммы налога.</w:t>
      </w:r>
      <w:bookmarkStart w:id="10" w:name="l14"/>
      <w:bookmarkEnd w:id="10"/>
      <w:proofErr w:type="gramEnd"/>
    </w:p>
    <w:p w:rsidR="006C11CB" w:rsidRPr="006C11CB" w:rsidRDefault="006C11CB" w:rsidP="006C11CB">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6C11CB">
        <w:rPr>
          <w:rFonts w:ascii="Times New Roman" w:eastAsia="Times New Roman" w:hAnsi="Times New Roman" w:cs="Times New Roman"/>
          <w:color w:val="333333"/>
          <w:sz w:val="27"/>
          <w:szCs w:val="27"/>
          <w:lang w:eastAsia="ru-RU"/>
        </w:rPr>
        <w:t>Что касается пеней, подлежащих уплате налогоплательщиком, осуществляющим сделки с взаимозависимыми лицами и применяющим в этих сделках цены, не соответствующие рыночным, то на основании вышеуказанного </w:t>
      </w:r>
      <w:hyperlink r:id="rId16" w:anchor="l4069" w:tgtFrame="_blank" w:history="1">
        <w:r w:rsidRPr="00224FBF">
          <w:rPr>
            <w:rFonts w:ascii="Times New Roman" w:eastAsia="Times New Roman" w:hAnsi="Times New Roman" w:cs="Times New Roman"/>
            <w:color w:val="333333"/>
            <w:sz w:val="27"/>
            <w:szCs w:val="27"/>
            <w:lang w:eastAsia="ru-RU"/>
          </w:rPr>
          <w:t>п. 6</w:t>
        </w:r>
      </w:hyperlink>
      <w:r w:rsidRPr="006C11CB">
        <w:rPr>
          <w:rFonts w:ascii="Times New Roman" w:eastAsia="Times New Roman" w:hAnsi="Times New Roman" w:cs="Times New Roman"/>
          <w:color w:val="333333"/>
          <w:sz w:val="27"/>
          <w:szCs w:val="27"/>
          <w:lang w:eastAsia="ru-RU"/>
        </w:rPr>
        <w:t> ст. 105.3 Кодекса при самостоятельной корректировке применяемых цен в период с даты возникновения недоимки до даты уплаты налога на прибыль организаций (налога на доходы физических лиц) за соответствующий период пени не начисляются.</w:t>
      </w:r>
      <w:bookmarkStart w:id="11" w:name="l7"/>
      <w:bookmarkEnd w:id="11"/>
      <w:proofErr w:type="gramEnd"/>
    </w:p>
    <w:p w:rsidR="006C11CB" w:rsidRPr="006C11CB" w:rsidRDefault="006C11CB" w:rsidP="006C11CB">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6C11CB">
        <w:rPr>
          <w:rFonts w:ascii="Times New Roman" w:eastAsia="Times New Roman" w:hAnsi="Times New Roman" w:cs="Times New Roman"/>
          <w:color w:val="333333"/>
          <w:sz w:val="27"/>
          <w:szCs w:val="27"/>
          <w:lang w:eastAsia="ru-RU"/>
        </w:rPr>
        <w:t>Кроме того, в соответствии с </w:t>
      </w:r>
      <w:hyperlink r:id="rId17" w:anchor="l585" w:tgtFrame="_blank" w:history="1">
        <w:r w:rsidRPr="00224FBF">
          <w:rPr>
            <w:rFonts w:ascii="Times New Roman" w:eastAsia="Times New Roman" w:hAnsi="Times New Roman" w:cs="Times New Roman"/>
            <w:color w:val="333333"/>
            <w:sz w:val="27"/>
            <w:szCs w:val="27"/>
            <w:lang w:eastAsia="ru-RU"/>
          </w:rPr>
          <w:t>п. 9</w:t>
        </w:r>
      </w:hyperlink>
      <w:r w:rsidRPr="006C11CB">
        <w:rPr>
          <w:rFonts w:ascii="Times New Roman" w:eastAsia="Times New Roman" w:hAnsi="Times New Roman" w:cs="Times New Roman"/>
          <w:color w:val="333333"/>
          <w:sz w:val="27"/>
          <w:szCs w:val="27"/>
          <w:lang w:eastAsia="ru-RU"/>
        </w:rPr>
        <w:t> ст. 4 Федерального закона от 18.07.2011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(далее - Закон N 227-ФЗ) при вынесении решений о доначислении налогов за налоговые периоды, истекшие до дня вступления в силу Закона </w:t>
      </w:r>
      <w:hyperlink r:id="rId18" w:anchor="l0" w:tgtFrame="_blank" w:history="1">
        <w:r w:rsidRPr="00224FBF">
          <w:rPr>
            <w:rFonts w:ascii="Times New Roman" w:eastAsia="Times New Roman" w:hAnsi="Times New Roman" w:cs="Times New Roman"/>
            <w:color w:val="333333"/>
            <w:sz w:val="27"/>
            <w:szCs w:val="27"/>
            <w:lang w:eastAsia="ru-RU"/>
          </w:rPr>
          <w:t>N 227-ФЗ</w:t>
        </w:r>
      </w:hyperlink>
      <w:r w:rsidRPr="006C11CB">
        <w:rPr>
          <w:rFonts w:ascii="Times New Roman" w:eastAsia="Times New Roman" w:hAnsi="Times New Roman" w:cs="Times New Roman"/>
          <w:color w:val="333333"/>
          <w:sz w:val="27"/>
          <w:szCs w:val="27"/>
          <w:lang w:eastAsia="ru-RU"/>
        </w:rPr>
        <w:t>, применяется порядок, действовавший до</w:t>
      </w:r>
      <w:proofErr w:type="gramEnd"/>
      <w:r w:rsidRPr="006C11CB">
        <w:rPr>
          <w:rFonts w:ascii="Times New Roman" w:eastAsia="Times New Roman" w:hAnsi="Times New Roman" w:cs="Times New Roman"/>
          <w:color w:val="333333"/>
          <w:sz w:val="27"/>
          <w:szCs w:val="27"/>
          <w:lang w:eastAsia="ru-RU"/>
        </w:rPr>
        <w:t xml:space="preserve"> дня вступления его в силу. С 1 января 2012 г. налоговые санкции применяются в порядке, предусмотренном переходными положениями, установленными </w:t>
      </w:r>
      <w:hyperlink r:id="rId19" w:anchor="l585" w:tgtFrame="_blank" w:history="1">
        <w:r w:rsidRPr="00224FBF">
          <w:rPr>
            <w:rFonts w:ascii="Times New Roman" w:eastAsia="Times New Roman" w:hAnsi="Times New Roman" w:cs="Times New Roman"/>
            <w:color w:val="333333"/>
            <w:sz w:val="27"/>
            <w:szCs w:val="27"/>
            <w:lang w:eastAsia="ru-RU"/>
          </w:rPr>
          <w:t>п. 9</w:t>
        </w:r>
      </w:hyperlink>
      <w:r w:rsidRPr="006C11CB">
        <w:rPr>
          <w:rFonts w:ascii="Times New Roman" w:eastAsia="Times New Roman" w:hAnsi="Times New Roman" w:cs="Times New Roman"/>
          <w:color w:val="333333"/>
          <w:sz w:val="27"/>
          <w:szCs w:val="27"/>
          <w:lang w:eastAsia="ru-RU"/>
        </w:rPr>
        <w:t> ст. 4 Закона N 227-ФЗ.</w:t>
      </w:r>
      <w:bookmarkStart w:id="12" w:name="l15"/>
      <w:bookmarkStart w:id="13" w:name="l8"/>
      <w:bookmarkEnd w:id="12"/>
      <w:bookmarkEnd w:id="13"/>
    </w:p>
    <w:p w:rsidR="006C11CB" w:rsidRPr="006C11CB" w:rsidRDefault="006C11CB" w:rsidP="006C11CB">
      <w:pPr>
        <w:spacing w:after="0" w:line="360" w:lineRule="atLeast"/>
        <w:textAlignment w:val="baseline"/>
        <w:rPr>
          <w:rFonts w:ascii="Times New Roman" w:eastAsia="Times New Roman" w:hAnsi="Times New Roman" w:cs="Times New Roman"/>
          <w:color w:val="333333"/>
          <w:sz w:val="27"/>
          <w:szCs w:val="27"/>
          <w:lang w:eastAsia="ru-RU"/>
        </w:rPr>
      </w:pPr>
      <w:r w:rsidRPr="006C11CB">
        <w:rPr>
          <w:rFonts w:ascii="Times New Roman" w:eastAsia="Times New Roman" w:hAnsi="Times New Roman" w:cs="Times New Roman"/>
          <w:color w:val="333333"/>
          <w:sz w:val="27"/>
          <w:szCs w:val="27"/>
          <w:lang w:eastAsia="ru-RU"/>
        </w:rPr>
        <w:lastRenderedPageBreak/>
        <w:t>Настоящее письмо не содержит правовых норм или общих правил, конкретизирующих нормативные предписания, и не является нормативным правовым актом. В соответствии с Письмом Минфина России </w:t>
      </w:r>
      <w:hyperlink r:id="rId20" w:anchor="l0" w:tgtFrame="_blank" w:history="1">
        <w:r w:rsidRPr="00224FBF">
          <w:rPr>
            <w:rFonts w:ascii="Times New Roman" w:eastAsia="Times New Roman" w:hAnsi="Times New Roman" w:cs="Times New Roman"/>
            <w:color w:val="333333"/>
            <w:sz w:val="27"/>
            <w:szCs w:val="27"/>
            <w:lang w:eastAsia="ru-RU"/>
          </w:rPr>
          <w:t>от 07.08.2007 N 03-02-07/2-138</w:t>
        </w:r>
      </w:hyperlink>
      <w:r w:rsidRPr="006C11CB">
        <w:rPr>
          <w:rFonts w:ascii="Times New Roman" w:eastAsia="Times New Roman" w:hAnsi="Times New Roman" w:cs="Times New Roman"/>
          <w:color w:val="333333"/>
          <w:sz w:val="27"/>
          <w:szCs w:val="27"/>
          <w:lang w:eastAsia="ru-RU"/>
        </w:rPr>
        <w:t> направляемое письмо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 настоящем письме.</w:t>
      </w:r>
      <w:bookmarkStart w:id="14" w:name="l16"/>
      <w:bookmarkStart w:id="15" w:name="l9"/>
      <w:bookmarkEnd w:id="14"/>
      <w:bookmarkEnd w:id="15"/>
    </w:p>
    <w:p w:rsidR="006C11CB" w:rsidRPr="006C11CB" w:rsidRDefault="006C11CB" w:rsidP="006C11CB">
      <w:pPr>
        <w:spacing w:after="0" w:line="360" w:lineRule="atLeast"/>
        <w:jc w:val="right"/>
        <w:textAlignment w:val="baseline"/>
        <w:rPr>
          <w:rFonts w:ascii="Times New Roman" w:eastAsia="Times New Roman" w:hAnsi="Times New Roman" w:cs="Times New Roman"/>
          <w:color w:val="333333"/>
          <w:sz w:val="27"/>
          <w:szCs w:val="27"/>
          <w:lang w:eastAsia="ru-RU"/>
        </w:rPr>
      </w:pPr>
      <w:r w:rsidRPr="006C11CB">
        <w:rPr>
          <w:rFonts w:ascii="Times New Roman" w:eastAsia="Times New Roman" w:hAnsi="Times New Roman" w:cs="Times New Roman"/>
          <w:i/>
          <w:iCs/>
          <w:color w:val="333333"/>
          <w:sz w:val="27"/>
          <w:szCs w:val="27"/>
          <w:lang w:eastAsia="ru-RU"/>
        </w:rPr>
        <w:t>Директор Департамента налоговой</w:t>
      </w:r>
      <w:r w:rsidRPr="006C11CB">
        <w:rPr>
          <w:rFonts w:ascii="Times New Roman" w:eastAsia="Times New Roman" w:hAnsi="Times New Roman" w:cs="Times New Roman"/>
          <w:color w:val="333333"/>
          <w:sz w:val="27"/>
          <w:szCs w:val="27"/>
          <w:lang w:eastAsia="ru-RU"/>
        </w:rPr>
        <w:br/>
      </w:r>
      <w:bookmarkStart w:id="16" w:name="_GoBack"/>
      <w:bookmarkEnd w:id="16"/>
      <w:r w:rsidRPr="006C11CB">
        <w:rPr>
          <w:rFonts w:ascii="Times New Roman" w:eastAsia="Times New Roman" w:hAnsi="Times New Roman" w:cs="Times New Roman"/>
          <w:i/>
          <w:iCs/>
          <w:color w:val="333333"/>
          <w:sz w:val="27"/>
          <w:szCs w:val="27"/>
          <w:lang w:eastAsia="ru-RU"/>
        </w:rPr>
        <w:t>и таможенно-тарифной политики</w:t>
      </w:r>
      <w:r w:rsidRPr="006C11CB">
        <w:rPr>
          <w:rFonts w:ascii="Times New Roman" w:eastAsia="Times New Roman" w:hAnsi="Times New Roman" w:cs="Times New Roman"/>
          <w:color w:val="333333"/>
          <w:sz w:val="27"/>
          <w:szCs w:val="27"/>
          <w:lang w:eastAsia="ru-RU"/>
        </w:rPr>
        <w:br/>
      </w:r>
      <w:r w:rsidRPr="006C11CB">
        <w:rPr>
          <w:rFonts w:ascii="Times New Roman" w:eastAsia="Times New Roman" w:hAnsi="Times New Roman" w:cs="Times New Roman"/>
          <w:i/>
          <w:iCs/>
          <w:color w:val="333333"/>
          <w:sz w:val="27"/>
          <w:szCs w:val="27"/>
          <w:lang w:eastAsia="ru-RU"/>
        </w:rPr>
        <w:t>И.В.ТРУНИН</w:t>
      </w:r>
    </w:p>
    <w:p w:rsidR="00CB3C56" w:rsidRDefault="00CB3C56"/>
    <w:sectPr w:rsidR="00CB3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CB"/>
    <w:rsid w:val="00224FBF"/>
    <w:rsid w:val="006C11CB"/>
    <w:rsid w:val="00CB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11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11CB"/>
    <w:rPr>
      <w:rFonts w:ascii="Times New Roman" w:eastAsia="Times New Roman" w:hAnsi="Times New Roman" w:cs="Times New Roman"/>
      <w:b/>
      <w:bCs/>
      <w:sz w:val="36"/>
      <w:szCs w:val="36"/>
      <w:lang w:eastAsia="ru-RU"/>
    </w:rPr>
  </w:style>
  <w:style w:type="paragraph" w:customStyle="1" w:styleId="dt-p">
    <w:name w:val="dt-p"/>
    <w:basedOn w:val="a"/>
    <w:rsid w:val="006C1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11CB"/>
    <w:rPr>
      <w:color w:val="0000FF"/>
      <w:u w:val="single"/>
    </w:rPr>
  </w:style>
  <w:style w:type="paragraph" w:styleId="a4">
    <w:name w:val="Normal (Web)"/>
    <w:basedOn w:val="a"/>
    <w:uiPriority w:val="99"/>
    <w:semiHidden/>
    <w:unhideWhenUsed/>
    <w:rsid w:val="006C1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11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11CB"/>
    <w:rPr>
      <w:rFonts w:ascii="Times New Roman" w:eastAsia="Times New Roman" w:hAnsi="Times New Roman" w:cs="Times New Roman"/>
      <w:b/>
      <w:bCs/>
      <w:sz w:val="36"/>
      <w:szCs w:val="36"/>
      <w:lang w:eastAsia="ru-RU"/>
    </w:rPr>
  </w:style>
  <w:style w:type="paragraph" w:customStyle="1" w:styleId="dt-p">
    <w:name w:val="dt-p"/>
    <w:basedOn w:val="a"/>
    <w:rsid w:val="006C1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11CB"/>
    <w:rPr>
      <w:color w:val="0000FF"/>
      <w:u w:val="single"/>
    </w:rPr>
  </w:style>
  <w:style w:type="paragraph" w:styleId="a4">
    <w:name w:val="Normal (Web)"/>
    <w:basedOn w:val="a"/>
    <w:uiPriority w:val="99"/>
    <w:semiHidden/>
    <w:unhideWhenUsed/>
    <w:rsid w:val="006C1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05822" TargetMode="External"/><Relationship Id="rId13" Type="http://schemas.openxmlformats.org/officeDocument/2006/relationships/hyperlink" Target="https://normativ.kontur.ru/document?moduleId=1&amp;documentId=205796" TargetMode="External"/><Relationship Id="rId18" Type="http://schemas.openxmlformats.org/officeDocument/2006/relationships/hyperlink" Target="https://normativ.kontur.ru/document?moduleId=1&amp;documentId=1825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ormativ.kontur.ru/document?moduleId=1&amp;documentId=205822" TargetMode="External"/><Relationship Id="rId12" Type="http://schemas.openxmlformats.org/officeDocument/2006/relationships/hyperlink" Target="https://normativ.kontur.ru/document?moduleId=1&amp;documentId=205822" TargetMode="External"/><Relationship Id="rId17" Type="http://schemas.openxmlformats.org/officeDocument/2006/relationships/hyperlink" Target="https://normativ.kontur.ru/document?moduleId=1&amp;documentId=182513"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05822" TargetMode="External"/><Relationship Id="rId20" Type="http://schemas.openxmlformats.org/officeDocument/2006/relationships/hyperlink" Target="https://normativ.kontur.ru/document?moduleId=1&amp;documentId=110690" TargetMode="External"/><Relationship Id="rId1" Type="http://schemas.openxmlformats.org/officeDocument/2006/relationships/styles" Target="styles.xml"/><Relationship Id="rId6" Type="http://schemas.openxmlformats.org/officeDocument/2006/relationships/hyperlink" Target="https://normativ.kontur.ru/document?moduleId=1&amp;documentId=205822" TargetMode="External"/><Relationship Id="rId11" Type="http://schemas.openxmlformats.org/officeDocument/2006/relationships/hyperlink" Target="https://normativ.kontur.ru/document?moduleId=1&amp;documentId=205822" TargetMode="External"/><Relationship Id="rId5" Type="http://schemas.openxmlformats.org/officeDocument/2006/relationships/hyperlink" Target="https://normativ.kontur.ru/document?moduleId=1&amp;documentId=205796" TargetMode="External"/><Relationship Id="rId15" Type="http://schemas.openxmlformats.org/officeDocument/2006/relationships/hyperlink" Target="https://normativ.kontur.ru/document?moduleId=1&amp;documentId=205822" TargetMode="External"/><Relationship Id="rId10" Type="http://schemas.openxmlformats.org/officeDocument/2006/relationships/hyperlink" Target="https://normativ.kontur.ru/document?moduleId=1&amp;documentId=205822" TargetMode="External"/><Relationship Id="rId19" Type="http://schemas.openxmlformats.org/officeDocument/2006/relationships/hyperlink" Target="https://normativ.kontur.ru/document?moduleId=1&amp;documentId=182513"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05822" TargetMode="External"/><Relationship Id="rId14" Type="http://schemas.openxmlformats.org/officeDocument/2006/relationships/hyperlink" Target="https://normativ.kontur.ru/document?moduleId=1&amp;documentId=2058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2017-12-27T13:04:00Z</dcterms:created>
  <dcterms:modified xsi:type="dcterms:W3CDTF">2018-01-01T12:15:00Z</dcterms:modified>
</cp:coreProperties>
</file>