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B" w:rsidRPr="001A617B" w:rsidRDefault="001A617B" w:rsidP="001A617B">
      <w:pPr>
        <w:pStyle w:val="headertext"/>
        <w:jc w:val="center"/>
      </w:pPr>
      <w:r w:rsidRPr="001A617B">
        <w:t>Министерство финансов Российской Федерации</w:t>
      </w:r>
      <w:r w:rsidRPr="001A617B">
        <w:br/>
      </w:r>
      <w:bookmarkStart w:id="0" w:name="ZAP216Q3C2"/>
      <w:bookmarkEnd w:id="0"/>
      <w:r w:rsidRPr="001A617B">
        <w:t>ФЕДЕРАЛЬНАЯ НАЛОГОВАЯ СЛУЖБА</w:t>
      </w:r>
      <w:bookmarkStart w:id="1" w:name="bssPhr4"/>
      <w:bookmarkStart w:id="2" w:name="ZAP1R163A1"/>
      <w:bookmarkEnd w:id="1"/>
      <w:bookmarkEnd w:id="2"/>
      <w:r w:rsidRPr="001A617B">
        <w:t>ПИСЬМО</w:t>
      </w:r>
      <w:bookmarkStart w:id="3" w:name="bssPhr5"/>
      <w:bookmarkStart w:id="4" w:name="ZAP1OO63D1"/>
      <w:bookmarkEnd w:id="3"/>
      <w:bookmarkEnd w:id="4"/>
      <w:r w:rsidRPr="001A617B">
        <w:t xml:space="preserve"> от 23 декабря 2015 года № ЕД-4-15/22619</w:t>
      </w:r>
      <w:bookmarkStart w:id="5" w:name="bssPhr6"/>
      <w:bookmarkStart w:id="6" w:name="ZAP2O2G3KJ"/>
      <w:bookmarkEnd w:id="5"/>
      <w:bookmarkEnd w:id="6"/>
      <w:r w:rsidRPr="001A617B">
        <w:t xml:space="preserve"> [О применении </w:t>
      </w:r>
      <w:hyperlink r:id="rId4" w:history="1">
        <w:r w:rsidRPr="001A617B">
          <w:rPr>
            <w:rStyle w:val="a3"/>
            <w:color w:val="auto"/>
            <w:u w:val="none"/>
          </w:rPr>
          <w:t>письма ФНС России от 21.10.2013 № ММВ-20-3/96 "Об отсутствии налоговых рисков при применении налогоплательщиками первичного документа, составленного на основе формы счета-фактуры"]</w:t>
        </w:r>
      </w:hyperlink>
    </w:p>
    <w:p w:rsidR="001A617B" w:rsidRPr="001A617B" w:rsidRDefault="001A617B" w:rsidP="001A617B">
      <w:pPr>
        <w:pStyle w:val="formattext"/>
      </w:pPr>
      <w:bookmarkStart w:id="7" w:name="bssPhr7"/>
      <w:bookmarkStart w:id="8" w:name="ZAP2CGA3H4"/>
      <w:bookmarkStart w:id="9" w:name="ZAP2CCO3H3"/>
      <w:bookmarkStart w:id="10" w:name="ZAP26U63FI"/>
      <w:bookmarkEnd w:id="7"/>
      <w:bookmarkEnd w:id="8"/>
      <w:bookmarkEnd w:id="9"/>
      <w:bookmarkEnd w:id="10"/>
      <w:r w:rsidRPr="001A617B">
        <w:t xml:space="preserve">Федеральная налоговая служба, рассмотрев обращение по вопросу применения </w:t>
      </w:r>
      <w:hyperlink r:id="rId5" w:history="1">
        <w:r w:rsidRPr="001A617B">
          <w:rPr>
            <w:rStyle w:val="a3"/>
            <w:color w:val="auto"/>
            <w:u w:val="none"/>
          </w:rPr>
          <w:t>письма ФНС России от 21.10.2013 № ММВ-20-3/96 "Об отсутствии налоговых рисков при применении налогоплательщиками первичного документа, составленного на основе формы счета-фактуры"</w:t>
        </w:r>
      </w:hyperlink>
      <w:r w:rsidRPr="001A617B">
        <w:t xml:space="preserve"> (далее - письмо ФНС России ММВ-20-3/96), сообщает следующее. </w:t>
      </w:r>
      <w:bookmarkStart w:id="11" w:name="bssPhr8"/>
      <w:bookmarkStart w:id="12" w:name="ZAP1S6S3AQ"/>
      <w:bookmarkStart w:id="13" w:name="ZAP1MOA399"/>
      <w:bookmarkEnd w:id="11"/>
      <w:bookmarkEnd w:id="12"/>
      <w:bookmarkEnd w:id="13"/>
      <w:proofErr w:type="gramStart"/>
      <w:r w:rsidRPr="001A617B">
        <w:t xml:space="preserve">Согласно </w:t>
      </w:r>
      <w:hyperlink r:id="rId6" w:anchor="XA00M3C2MC" w:history="1">
        <w:r w:rsidRPr="001A617B">
          <w:rPr>
            <w:rStyle w:val="a3"/>
            <w:color w:val="auto"/>
            <w:u w:val="none"/>
          </w:rPr>
          <w:t>пункту 9 приложения № 1 постановления Правительства Российской Федерации от 26.12.2011 № 1137 "О формах и правилах заполнения (ведения) документов, применяемых при расчетах по налогу на добавленную стоимость"</w:t>
        </w:r>
      </w:hyperlink>
      <w:r w:rsidRPr="001A617B">
        <w:t xml:space="preserve"> налогоплательщики вправе указывать в дополнительных строках и графах счета-фактуры дополнительную информацию, в том числе реквизиты первичного документа, при условии сохранения формы счета-фактуры, утвержденной данным постановлением.</w:t>
      </w:r>
      <w:bookmarkStart w:id="14" w:name="bssPhr9"/>
      <w:bookmarkStart w:id="15" w:name="ZAP2BOG3IG"/>
      <w:bookmarkStart w:id="16" w:name="ZAP269U3GV"/>
      <w:bookmarkEnd w:id="14"/>
      <w:bookmarkEnd w:id="15"/>
      <w:bookmarkEnd w:id="16"/>
      <w:proofErr w:type="gramEnd"/>
      <w:r w:rsidRPr="001A617B">
        <w:t xml:space="preserve"> Согласно </w:t>
      </w:r>
      <w:hyperlink r:id="rId7" w:history="1">
        <w:r w:rsidRPr="001A617B">
          <w:rPr>
            <w:rStyle w:val="a3"/>
            <w:color w:val="auto"/>
            <w:u w:val="none"/>
          </w:rPr>
          <w:t>информации Минфина России № ПЗ-10/2012 "О вступлении в силу с 1 января 2013 года Федерального закона от 6 декабря 2011 года № 402-ФЗ "О бухгалтерском учете"</w:t>
        </w:r>
      </w:hyperlink>
      <w:r w:rsidRPr="001A617B">
        <w:t xml:space="preserve"> с 1 января 2013 года первичные учетные документы составляются по формам, определяемым руководителем экономического субъекта. При этом каждый первичный учетный документ должен содержать все обязательные реквизиты, установленные </w:t>
      </w:r>
      <w:hyperlink r:id="rId8" w:anchor="XA00M3A2ME" w:history="1">
        <w:r w:rsidRPr="001A617B">
          <w:rPr>
            <w:rStyle w:val="a3"/>
            <w:color w:val="auto"/>
            <w:u w:val="none"/>
          </w:rPr>
          <w:t>частью 2 статьи 9 Федерального закона от 6 декабря 2011 года № 402-ФЗ "О бухгалтерском учете"</w:t>
        </w:r>
      </w:hyperlink>
      <w:r w:rsidRPr="001A617B">
        <w:t xml:space="preserve"> (далее - Закон № 402-ФЗ). </w:t>
      </w:r>
      <w:bookmarkStart w:id="17" w:name="bssPhr10"/>
      <w:bookmarkStart w:id="18" w:name="ZAP2NMM3LS"/>
      <w:bookmarkStart w:id="19" w:name="ZAP2I843KB"/>
      <w:bookmarkEnd w:id="17"/>
      <w:bookmarkEnd w:id="18"/>
      <w:bookmarkEnd w:id="19"/>
      <w:r w:rsidRPr="001A617B">
        <w:t xml:space="preserve">В соответствии со </w:t>
      </w:r>
      <w:hyperlink r:id="rId9" w:anchor="XA00MA62MK" w:history="1">
        <w:r w:rsidRPr="001A617B">
          <w:rPr>
            <w:rStyle w:val="a3"/>
            <w:color w:val="auto"/>
            <w:u w:val="none"/>
          </w:rPr>
          <w:t>статьей 313 Налогового кодекса Российской Федерации</w:t>
        </w:r>
      </w:hyperlink>
      <w:r w:rsidRPr="001A617B">
        <w:t xml:space="preserve"> (далее - Кодекс) первичные учетные документы являются подтверждением данных налогового учета.</w:t>
      </w:r>
      <w:bookmarkStart w:id="20" w:name="bssPhr11"/>
      <w:bookmarkStart w:id="21" w:name="ZAP2VEG3N6"/>
      <w:bookmarkStart w:id="22" w:name="ZAP2PVU3LL"/>
      <w:bookmarkEnd w:id="20"/>
      <w:bookmarkEnd w:id="21"/>
      <w:bookmarkEnd w:id="22"/>
      <w:r w:rsidRPr="001A617B">
        <w:t xml:space="preserve"> </w:t>
      </w:r>
      <w:proofErr w:type="gramStart"/>
      <w:r w:rsidRPr="001A617B">
        <w:t xml:space="preserve">В </w:t>
      </w:r>
      <w:hyperlink r:id="rId10" w:history="1">
        <w:r w:rsidRPr="001A617B">
          <w:rPr>
            <w:rStyle w:val="a3"/>
            <w:color w:val="auto"/>
            <w:u w:val="none"/>
          </w:rPr>
          <w:t>письме ФНС России № ММВ-20-3/96</w:t>
        </w:r>
      </w:hyperlink>
      <w:r w:rsidRPr="001A617B">
        <w:t xml:space="preserve"> приведена одна из возможных форм документа о передаче товаров (работ, услуг и имущественных прав), который одновременно соответствует требованиям </w:t>
      </w:r>
      <w:hyperlink r:id="rId11" w:anchor="XA00MEG2O4" w:history="1">
        <w:r w:rsidRPr="001A617B">
          <w:rPr>
            <w:rStyle w:val="a3"/>
            <w:color w:val="auto"/>
            <w:u w:val="none"/>
          </w:rPr>
          <w:t>статьи 169 Кодекса</w:t>
        </w:r>
      </w:hyperlink>
      <w:r w:rsidRPr="001A617B">
        <w:t xml:space="preserve"> и общим требованиям к первичным учетным документам, установленным в </w:t>
      </w:r>
      <w:hyperlink r:id="rId12" w:anchor="XA00M3A2ME" w:history="1">
        <w:r w:rsidRPr="001A617B">
          <w:rPr>
            <w:rStyle w:val="a3"/>
            <w:color w:val="auto"/>
            <w:u w:val="none"/>
          </w:rPr>
          <w:t>пункте 2 статьи 9 Закона № 402-ФЗ</w:t>
        </w:r>
      </w:hyperlink>
      <w:r w:rsidRPr="001A617B">
        <w:t>. Данная форма рекомендована для применения по взаимному согласию сторон для оформления операций передачи товаров (работ, услуг, имущественных прав</w:t>
      </w:r>
      <w:proofErr w:type="gramEnd"/>
      <w:r w:rsidRPr="001A617B">
        <w:t xml:space="preserve">) в случаях, не имеющих специального регулирования. </w:t>
      </w:r>
      <w:bookmarkStart w:id="23" w:name="bssPhr12"/>
      <w:bookmarkStart w:id="24" w:name="ZAP2CRI3HE"/>
      <w:bookmarkStart w:id="25" w:name="ZAP27D03FT"/>
      <w:bookmarkEnd w:id="23"/>
      <w:bookmarkEnd w:id="24"/>
      <w:bookmarkEnd w:id="25"/>
      <w:r w:rsidRPr="001A617B">
        <w:fldChar w:fldCharType="begin"/>
      </w:r>
      <w:r w:rsidRPr="001A617B">
        <w:instrText xml:space="preserve"> HYPERLINK "https://www.glavbukh.ru/npd/edoc/99_499052699_" </w:instrText>
      </w:r>
      <w:r w:rsidRPr="001A617B">
        <w:fldChar w:fldCharType="separate"/>
      </w:r>
      <w:r w:rsidRPr="001A617B">
        <w:rPr>
          <w:rStyle w:val="a3"/>
          <w:color w:val="auto"/>
          <w:u w:val="none"/>
        </w:rPr>
        <w:t>Письмо ФНС России № ММВ-20-3/96</w:t>
      </w:r>
      <w:r w:rsidRPr="001A617B">
        <w:fldChar w:fldCharType="end"/>
      </w:r>
      <w:r w:rsidRPr="001A617B">
        <w:t xml:space="preserve"> не является нормативно-правовым актом, не изменяет и не дополняет федеральное законодательство и не содержит исчерпывающего перечня показателей, которые могут фиксироваться сторонами при оформлении операций передачи товаров (работ, услуг), имущественных прав.</w:t>
      </w:r>
      <w:bookmarkStart w:id="26" w:name="bssPhr13"/>
      <w:bookmarkStart w:id="27" w:name="ZAP2SE63QP"/>
      <w:bookmarkStart w:id="28" w:name="ZAP2MVK3P8"/>
      <w:bookmarkEnd w:id="26"/>
      <w:bookmarkEnd w:id="27"/>
      <w:bookmarkEnd w:id="28"/>
      <w:r w:rsidRPr="001A617B">
        <w:t xml:space="preserve"> В этой связи стороны могут использовать приведенный в вышеуказанном письме ФНС России образец формы документа, объединяющей в себе форму счета-фактуры и информацию первичного учетного документа, дополняя его любыми другими показателями, необходимыми для отражения специальных условий сделок. </w:t>
      </w:r>
      <w:bookmarkStart w:id="29" w:name="bssPhr14"/>
      <w:bookmarkStart w:id="30" w:name="ZAP2LJK3MM"/>
      <w:bookmarkStart w:id="31" w:name="ZAP2G523L5"/>
      <w:bookmarkEnd w:id="29"/>
      <w:bookmarkEnd w:id="30"/>
      <w:bookmarkEnd w:id="31"/>
      <w:r w:rsidRPr="001A617B">
        <w:t>Это могут быть не содержащиеся в образце столбцы и строки за пределами черной рамки, что обеспечивает условие сохранения формы счета-фактуры.</w:t>
      </w:r>
    </w:p>
    <w:p w:rsidR="001A617B" w:rsidRPr="001A617B" w:rsidRDefault="001A617B" w:rsidP="001A617B">
      <w:pPr>
        <w:pStyle w:val="formattext"/>
        <w:jc w:val="right"/>
      </w:pPr>
      <w:bookmarkStart w:id="32" w:name="bssPhr15"/>
      <w:bookmarkStart w:id="33" w:name="ZAP2GBS3K2"/>
      <w:bookmarkStart w:id="34" w:name="ZAP2G8A3K1"/>
      <w:bookmarkStart w:id="35" w:name="ZAP2APO3IG"/>
      <w:bookmarkEnd w:id="32"/>
      <w:bookmarkEnd w:id="33"/>
      <w:bookmarkEnd w:id="34"/>
      <w:bookmarkEnd w:id="35"/>
      <w:r w:rsidRPr="001A617B">
        <w:t>Действительный</w:t>
      </w:r>
      <w:r w:rsidRPr="001A617B">
        <w:br/>
      </w:r>
      <w:bookmarkStart w:id="36" w:name="ZAP27603KM"/>
      <w:bookmarkEnd w:id="36"/>
      <w:r w:rsidRPr="001A617B">
        <w:t>государственный советник</w:t>
      </w:r>
      <w:r w:rsidRPr="001A617B">
        <w:br/>
      </w:r>
      <w:bookmarkStart w:id="37" w:name="ZAP2BJ43IT"/>
      <w:bookmarkEnd w:id="37"/>
      <w:r w:rsidRPr="001A617B">
        <w:t>Российской Федерации 2 класса</w:t>
      </w:r>
      <w:r w:rsidRPr="001A617B">
        <w:br/>
      </w:r>
      <w:bookmarkStart w:id="38" w:name="ZAP2O843OI"/>
      <w:bookmarkEnd w:id="38"/>
      <w:r w:rsidRPr="001A617B">
        <w:t xml:space="preserve">Д.В.Егоров </w:t>
      </w:r>
    </w:p>
    <w:p w:rsidR="00EE583E" w:rsidRPr="001A617B" w:rsidRDefault="00EE583E"/>
    <w:sectPr w:rsidR="00EE583E" w:rsidRPr="001A617B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17B"/>
    <w:rsid w:val="000B44BF"/>
    <w:rsid w:val="001A617B"/>
    <w:rsid w:val="0047379A"/>
    <w:rsid w:val="0064207C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617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17B"/>
    <w:rPr>
      <w:color w:val="0000FF"/>
      <w:u w:val="single"/>
    </w:rPr>
  </w:style>
  <w:style w:type="paragraph" w:customStyle="1" w:styleId="formattext">
    <w:name w:val="formattext"/>
    <w:basedOn w:val="a"/>
    <w:rsid w:val="001A617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316088_XA00M3A2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2384050_" TargetMode="External"/><Relationship Id="rId12" Type="http://schemas.openxmlformats.org/officeDocument/2006/relationships/hyperlink" Target="https://www.glavbukh.ru/npd/edoc/99_902316088_XA00M3A2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2322254_XA00M3C2MC" TargetMode="External"/><Relationship Id="rId11" Type="http://schemas.openxmlformats.org/officeDocument/2006/relationships/hyperlink" Target="https://www.glavbukh.ru/npd/edoc/99_901765862_XA00MEG2O4" TargetMode="External"/><Relationship Id="rId5" Type="http://schemas.openxmlformats.org/officeDocument/2006/relationships/hyperlink" Target="https://www.glavbukh.ru/npd/edoc/99_499052699_" TargetMode="External"/><Relationship Id="rId10" Type="http://schemas.openxmlformats.org/officeDocument/2006/relationships/hyperlink" Target="https://www.glavbukh.ru/npd/edoc/99_499052699_" TargetMode="External"/><Relationship Id="rId4" Type="http://schemas.openxmlformats.org/officeDocument/2006/relationships/hyperlink" Target="https://www.glavbukh.ru/npd/edoc/99_499052699_" TargetMode="External"/><Relationship Id="rId9" Type="http://schemas.openxmlformats.org/officeDocument/2006/relationships/hyperlink" Target="https://www.glavbukh.ru/npd/edoc/99_901765862_XA00MA62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2018-03-18T04:37:00Z</dcterms:created>
  <dcterms:modified xsi:type="dcterms:W3CDTF">2018-03-18T04:38:00Z</dcterms:modified>
</cp:coreProperties>
</file>