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2C" w:rsidRPr="00FA5A2C" w:rsidRDefault="00FA5A2C" w:rsidP="00FA5A2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>МИНИСТЕРСТВО ФИНАНСОВ РОССИЙСКОЙ ФЕДЕРАЦИИ</w:t>
      </w:r>
    </w:p>
    <w:p w:rsidR="00FA5A2C" w:rsidRPr="00FA5A2C" w:rsidRDefault="00FA5A2C" w:rsidP="00FA5A2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>ПИСЬМО</w:t>
      </w:r>
    </w:p>
    <w:p w:rsidR="00FA5A2C" w:rsidRPr="00FA5A2C" w:rsidRDefault="00FA5A2C" w:rsidP="00FA5A2C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>от 16 мая 2011 г. N 03-07-11/126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</w:t>
      </w:r>
      <w:proofErr w:type="gramStart"/>
      <w:r w:rsidRPr="00FA5A2C">
        <w:rPr>
          <w:rFonts w:ascii="Times New Roman" w:hAnsi="Times New Roman" w:cs="Times New Roman"/>
        </w:rPr>
        <w:t>В связи с обращением по вопросам применения налога на добавленную стоимость при выставлении</w:t>
      </w:r>
      <w:proofErr w:type="gramEnd"/>
      <w:r w:rsidRPr="00FA5A2C">
        <w:rPr>
          <w:rFonts w:ascii="Times New Roman" w:hAnsi="Times New Roman" w:cs="Times New Roman"/>
        </w:rPr>
        <w:t xml:space="preserve"> индивидуальным предпринимателем, применяющим упрощенную систему налогообложения, покупателям услуг счетов-фактур с выделением сумм этого налога Департамент налоговой и </w:t>
      </w:r>
      <w:proofErr w:type="spellStart"/>
      <w:r w:rsidRPr="00FA5A2C">
        <w:rPr>
          <w:rFonts w:ascii="Times New Roman" w:hAnsi="Times New Roman" w:cs="Times New Roman"/>
        </w:rPr>
        <w:t>таможенно-тарифной</w:t>
      </w:r>
      <w:proofErr w:type="spellEnd"/>
      <w:r w:rsidRPr="00FA5A2C">
        <w:rPr>
          <w:rFonts w:ascii="Times New Roman" w:hAnsi="Times New Roman" w:cs="Times New Roman"/>
        </w:rPr>
        <w:t xml:space="preserve"> политики сообщает.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</w:t>
      </w:r>
      <w:proofErr w:type="gramStart"/>
      <w:r w:rsidRPr="00FA5A2C">
        <w:rPr>
          <w:rFonts w:ascii="Times New Roman" w:hAnsi="Times New Roman" w:cs="Times New Roman"/>
        </w:rPr>
        <w:t>Согласно п. п. 2 и 3 ст. 346.11 гл. 26.2 "Упрощенная система налогообложения" Налогового кодекса Российской Федерации (далее - Кодекс) организации и индивидуальные предприниматели, перешедшие на упрощенную систему налогообложения, не признаются налогоплательщиками налога на добавленную стоимость, за исключением этого налога, подлежащего уплате при ввозе товаров на территорию Российской Федерации, а также налога, уплачиваемого в соответствии со ст. 174.1 гл. 21 "Налог</w:t>
      </w:r>
      <w:proofErr w:type="gramEnd"/>
      <w:r w:rsidRPr="00FA5A2C">
        <w:rPr>
          <w:rFonts w:ascii="Times New Roman" w:hAnsi="Times New Roman" w:cs="Times New Roman"/>
        </w:rPr>
        <w:t xml:space="preserve"> на добавленную стоимость" Кодекса. </w:t>
      </w:r>
      <w:r w:rsidRPr="00FA5A2C">
        <w:rPr>
          <w:rFonts w:ascii="Times New Roman" w:hAnsi="Times New Roman" w:cs="Times New Roman"/>
        </w:rPr>
        <w:cr/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Пунктом 3 ст. 169 гл. 21 Кодекса предусмотрено, что составлять счета-фактуры обязаны налогоплательщики налога на добавленную стоимость, реализующие товары (работы, услуги) на территории Российской Федерации.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Кроме того, на основании п. 1 ст. 169 Кодекса счета-фактуры имеют право выставлять комиссионеры (агенты), в том числе организации и индивидуальные предприниматели, применяющие упрощенную систему налогообложения, осуществляющие реализацию товаров (работ, услуг) от своего имени.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В иных случаях налогоплательщики, применяющие упрощенную систему налогообложения, оформлять счета-фактуры не должны.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</w:t>
      </w:r>
      <w:proofErr w:type="gramStart"/>
      <w:r w:rsidRPr="00FA5A2C">
        <w:rPr>
          <w:rFonts w:ascii="Times New Roman" w:hAnsi="Times New Roman" w:cs="Times New Roman"/>
        </w:rPr>
        <w:t xml:space="preserve">Таким образом, налог на добавленную стоимость, указанный в счетах-фактурах, выставленных при оказании услуг индивидуальным предпринимателем, применяющим упрощенную систему налогообложения и не исполняющим обязанностей налогоплательщика налога на добавленную стоимость, предусмотренных ст. 174.1 Кодекса, а также не осуществляющим оказание услуг от своего имени на основании договора комиссии или агентского договора, по нашему мнению, к вычету у покупателя этих услуг не принимается. </w:t>
      </w:r>
      <w:proofErr w:type="gramEnd"/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Указанная позиция изложена в упоминаемом в обращении Письме Департамента от 29.11.2010 N 03-07-11/456, подготовленном по запросу налогоплательщика, получавшего счета-фактуры от организации, перешедшей на упрощенную систему налогообложения.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</w:t>
      </w:r>
      <w:proofErr w:type="gramStart"/>
      <w:r w:rsidRPr="00FA5A2C">
        <w:rPr>
          <w:rFonts w:ascii="Times New Roman" w:hAnsi="Times New Roman" w:cs="Times New Roman"/>
        </w:rPr>
        <w:t xml:space="preserve">Также необходимо иметь в виду, что в соответствии с п. 5 ст. 173 Кодекса в случае выставления лицами, не являющимися налогоплательщиками налога на добавленную стоимость, в том числе индивидуальными предпринимателями, перешедшими на упрощенную систему налогообложения, покупателю товаров (работ, услуг) счета-фактуры с выделением суммы налога на добавленную стоимость вся сумма налога, указанная в этом счете-фактуре, подлежит уплате в бюджет. </w:t>
      </w:r>
      <w:proofErr w:type="gramEnd"/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   Мнение Департамента, приведенное в настоящем письме, не содержит правовых норм или общих правил, конкретизирующих нормативные предписания, и не является нормативным правовым актом. </w:t>
      </w:r>
      <w:proofErr w:type="gramStart"/>
      <w:r w:rsidRPr="00FA5A2C">
        <w:rPr>
          <w:rFonts w:ascii="Times New Roman" w:hAnsi="Times New Roman" w:cs="Times New Roman"/>
        </w:rPr>
        <w:t xml:space="preserve">В соответствии с Письмом Минфина России от 07.08.2007 N 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налоговым органам, налогоплательщикам, плательщикам сборов и налоговым агентам руководствоваться нормами законодательства о налогах и сборах в понимании, отличающемся от трактовки, изложенной в настоящем письме. </w:t>
      </w:r>
      <w:proofErr w:type="gramEnd"/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Заместитель директора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Департамента </w:t>
      </w:r>
      <w:proofErr w:type="gramStart"/>
      <w:r w:rsidRPr="00FA5A2C">
        <w:rPr>
          <w:rFonts w:ascii="Times New Roman" w:hAnsi="Times New Roman" w:cs="Times New Roman"/>
        </w:rPr>
        <w:t>налоговой</w:t>
      </w:r>
      <w:proofErr w:type="gramEnd"/>
      <w:r w:rsidRPr="00FA5A2C">
        <w:rPr>
          <w:rFonts w:ascii="Times New Roman" w:hAnsi="Times New Roman" w:cs="Times New Roman"/>
        </w:rPr>
        <w:t xml:space="preserve"> </w:t>
      </w:r>
    </w:p>
    <w:p w:rsidR="00FA5A2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 xml:space="preserve">и </w:t>
      </w:r>
      <w:proofErr w:type="spellStart"/>
      <w:r w:rsidRPr="00FA5A2C">
        <w:rPr>
          <w:rFonts w:ascii="Times New Roman" w:hAnsi="Times New Roman" w:cs="Times New Roman"/>
        </w:rPr>
        <w:t>таможенно-тарифной</w:t>
      </w:r>
      <w:proofErr w:type="spellEnd"/>
      <w:r w:rsidRPr="00FA5A2C">
        <w:rPr>
          <w:rFonts w:ascii="Times New Roman" w:hAnsi="Times New Roman" w:cs="Times New Roman"/>
        </w:rPr>
        <w:t xml:space="preserve"> политики </w:t>
      </w:r>
    </w:p>
    <w:p w:rsidR="0012147C" w:rsidRPr="00FA5A2C" w:rsidRDefault="00FA5A2C" w:rsidP="00FA5A2C">
      <w:pPr>
        <w:spacing w:after="120" w:line="240" w:lineRule="auto"/>
        <w:rPr>
          <w:rFonts w:ascii="Times New Roman" w:hAnsi="Times New Roman" w:cs="Times New Roman"/>
        </w:rPr>
      </w:pPr>
      <w:r w:rsidRPr="00FA5A2C">
        <w:rPr>
          <w:rFonts w:ascii="Times New Roman" w:hAnsi="Times New Roman" w:cs="Times New Roman"/>
        </w:rPr>
        <w:t>С.В.РАЗГУЛИН</w:t>
      </w:r>
    </w:p>
    <w:sectPr w:rsidR="0012147C" w:rsidRPr="00FA5A2C" w:rsidSect="00FA5A2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A2C"/>
    <w:rsid w:val="0012147C"/>
    <w:rsid w:val="00F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2018-07-08T18:42:00Z</dcterms:created>
  <dcterms:modified xsi:type="dcterms:W3CDTF">2018-07-08T18:42:00Z</dcterms:modified>
</cp:coreProperties>
</file>