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6E" w:rsidRDefault="00917C6E" w:rsidP="00917C6E">
      <w:pPr>
        <w:spacing w:before="300" w:after="150" w:line="240" w:lineRule="auto"/>
        <w:outlineLvl w:val="0"/>
        <w:rPr>
          <w:rFonts w:ascii="Helvetica" w:eastAsia="Times New Roman" w:hAnsi="Helvetica" w:cs="Helvetica"/>
          <w:kern w:val="36"/>
          <w:sz w:val="56"/>
          <w:szCs w:val="56"/>
          <w:lang w:eastAsia="ru-RU"/>
        </w:rPr>
      </w:pPr>
    </w:p>
    <w:p w:rsidR="00917C6E" w:rsidRDefault="00917C6E" w:rsidP="00917C6E">
      <w:pPr>
        <w:spacing w:before="300" w:after="150" w:line="240" w:lineRule="auto"/>
        <w:outlineLvl w:val="0"/>
        <w:rPr>
          <w:rFonts w:ascii="Helvetica" w:eastAsia="Times New Roman" w:hAnsi="Helvetica" w:cs="Helvetica"/>
          <w:kern w:val="36"/>
          <w:sz w:val="56"/>
          <w:szCs w:val="56"/>
          <w:lang w:eastAsia="ru-RU"/>
        </w:rPr>
      </w:pPr>
    </w:p>
    <w:p w:rsidR="00917C6E" w:rsidRDefault="00917C6E" w:rsidP="00917C6E">
      <w:pPr>
        <w:spacing w:before="300" w:after="150" w:line="240" w:lineRule="auto"/>
        <w:outlineLvl w:val="0"/>
        <w:rPr>
          <w:rFonts w:ascii="Helvetica" w:eastAsia="Times New Roman" w:hAnsi="Helvetica" w:cs="Helvetica"/>
          <w:kern w:val="36"/>
          <w:sz w:val="56"/>
          <w:szCs w:val="56"/>
          <w:lang w:eastAsia="ru-RU"/>
        </w:rPr>
      </w:pPr>
    </w:p>
    <w:p w:rsidR="00917C6E" w:rsidRDefault="00917C6E" w:rsidP="00917C6E">
      <w:pPr>
        <w:spacing w:before="300" w:after="150" w:line="240" w:lineRule="auto"/>
        <w:outlineLvl w:val="0"/>
        <w:rPr>
          <w:rFonts w:ascii="Helvetica" w:eastAsia="Times New Roman" w:hAnsi="Helvetica" w:cs="Helvetica"/>
          <w:kern w:val="36"/>
          <w:sz w:val="56"/>
          <w:szCs w:val="56"/>
          <w:lang w:eastAsia="ru-RU"/>
        </w:rPr>
      </w:pPr>
    </w:p>
    <w:p w:rsidR="00917C6E" w:rsidRPr="00917C6E" w:rsidRDefault="00917C6E" w:rsidP="00917C6E">
      <w:pPr>
        <w:spacing w:before="300" w:after="150" w:line="240" w:lineRule="auto"/>
        <w:outlineLvl w:val="0"/>
        <w:rPr>
          <w:rFonts w:ascii="Helvetica" w:eastAsia="Times New Roman" w:hAnsi="Helvetica" w:cs="Helvetica"/>
          <w:kern w:val="36"/>
          <w:sz w:val="56"/>
          <w:szCs w:val="56"/>
          <w:lang w:eastAsia="ru-RU"/>
        </w:rPr>
      </w:pPr>
      <w:r w:rsidRPr="00917C6E">
        <w:rPr>
          <w:rFonts w:ascii="Helvetica" w:eastAsia="Times New Roman" w:hAnsi="Helvetica" w:cs="Helvetica"/>
          <w:kern w:val="36"/>
          <w:sz w:val="56"/>
          <w:szCs w:val="56"/>
          <w:lang w:eastAsia="ru-RU"/>
        </w:rPr>
        <w:t>Указание Банка России от 11 марта 2014 г. N 3210-У: порядок ведения кассовых операций юридическими лицами и упрощенный порядок - для малого предпринимательства</w:t>
      </w:r>
    </w:p>
    <w:p w:rsidR="00917C6E" w:rsidRDefault="00917C6E" w:rsidP="00917C6E">
      <w:pPr>
        <w:spacing w:before="300" w:after="150" w:line="240" w:lineRule="auto"/>
        <w:outlineLvl w:val="0"/>
        <w:rPr>
          <w:rFonts w:ascii="Helvetica" w:eastAsia="Times New Roman" w:hAnsi="Helvetica" w:cs="Helvetica"/>
          <w:color w:val="00156A"/>
          <w:kern w:val="36"/>
          <w:sz w:val="45"/>
          <w:szCs w:val="45"/>
          <w:lang w:eastAsia="ru-RU"/>
        </w:rPr>
      </w:pPr>
    </w:p>
    <w:p w:rsidR="00917C6E" w:rsidRDefault="00917C6E" w:rsidP="00917C6E">
      <w:pPr>
        <w:spacing w:before="300" w:after="150" w:line="240" w:lineRule="auto"/>
        <w:outlineLvl w:val="0"/>
        <w:rPr>
          <w:rFonts w:ascii="Helvetica" w:eastAsia="Times New Roman" w:hAnsi="Helvetica" w:cs="Helvetica"/>
          <w:color w:val="00156A"/>
          <w:kern w:val="36"/>
          <w:sz w:val="45"/>
          <w:szCs w:val="45"/>
          <w:lang w:eastAsia="ru-RU"/>
        </w:rPr>
      </w:pPr>
    </w:p>
    <w:p w:rsidR="00917C6E" w:rsidRDefault="00917C6E" w:rsidP="00917C6E">
      <w:pPr>
        <w:spacing w:before="300" w:after="150" w:line="240" w:lineRule="auto"/>
        <w:outlineLvl w:val="0"/>
        <w:rPr>
          <w:rFonts w:ascii="Helvetica" w:eastAsia="Times New Roman" w:hAnsi="Helvetica" w:cs="Helvetica"/>
          <w:color w:val="00156A"/>
          <w:kern w:val="36"/>
          <w:sz w:val="45"/>
          <w:szCs w:val="45"/>
          <w:lang w:eastAsia="ru-RU"/>
        </w:rPr>
      </w:pPr>
    </w:p>
    <w:p w:rsidR="00917C6E" w:rsidRDefault="00917C6E" w:rsidP="00917C6E">
      <w:pPr>
        <w:spacing w:before="300" w:after="150" w:line="240" w:lineRule="auto"/>
        <w:outlineLvl w:val="0"/>
        <w:rPr>
          <w:rFonts w:ascii="Helvetica" w:eastAsia="Times New Roman" w:hAnsi="Helvetica" w:cs="Helvetica"/>
          <w:color w:val="00156A"/>
          <w:kern w:val="36"/>
          <w:sz w:val="45"/>
          <w:szCs w:val="45"/>
          <w:lang w:eastAsia="ru-RU"/>
        </w:rPr>
      </w:pPr>
    </w:p>
    <w:p w:rsidR="00917C6E" w:rsidRDefault="00917C6E" w:rsidP="00917C6E">
      <w:pPr>
        <w:spacing w:before="300" w:after="150" w:line="240" w:lineRule="auto"/>
        <w:outlineLvl w:val="0"/>
        <w:rPr>
          <w:rFonts w:ascii="Helvetica" w:eastAsia="Times New Roman" w:hAnsi="Helvetica" w:cs="Helvetica"/>
          <w:color w:val="00156A"/>
          <w:kern w:val="36"/>
          <w:sz w:val="45"/>
          <w:szCs w:val="45"/>
          <w:lang w:eastAsia="ru-RU"/>
        </w:rPr>
      </w:pPr>
    </w:p>
    <w:p w:rsidR="00917C6E" w:rsidRDefault="00917C6E" w:rsidP="00917C6E">
      <w:pPr>
        <w:spacing w:before="300" w:after="150" w:line="240" w:lineRule="auto"/>
        <w:outlineLvl w:val="0"/>
        <w:rPr>
          <w:rFonts w:ascii="Helvetica" w:eastAsia="Times New Roman" w:hAnsi="Helvetica" w:cs="Helvetica"/>
          <w:color w:val="00156A"/>
          <w:kern w:val="36"/>
          <w:sz w:val="45"/>
          <w:szCs w:val="45"/>
          <w:lang w:eastAsia="ru-RU"/>
        </w:rPr>
      </w:pPr>
    </w:p>
    <w:p w:rsidR="00917C6E" w:rsidRDefault="00917C6E" w:rsidP="00917C6E">
      <w:pPr>
        <w:spacing w:before="300" w:after="150" w:line="240" w:lineRule="auto"/>
        <w:outlineLvl w:val="0"/>
        <w:rPr>
          <w:rFonts w:ascii="Helvetica" w:eastAsia="Times New Roman" w:hAnsi="Helvetica" w:cs="Helvetica"/>
          <w:color w:val="00156A"/>
          <w:kern w:val="36"/>
          <w:sz w:val="45"/>
          <w:szCs w:val="45"/>
          <w:lang w:eastAsia="ru-RU"/>
        </w:rPr>
      </w:pPr>
    </w:p>
    <w:p w:rsidR="00917C6E" w:rsidRDefault="00917C6E" w:rsidP="00917C6E">
      <w:pPr>
        <w:spacing w:after="150" w:line="240" w:lineRule="auto"/>
        <w:rPr>
          <w:rFonts w:ascii="Helvetica" w:eastAsia="Times New Roman" w:hAnsi="Helvetica" w:cs="Helvetica"/>
          <w:color w:val="00156A"/>
          <w:kern w:val="36"/>
          <w:sz w:val="45"/>
          <w:szCs w:val="45"/>
          <w:lang w:eastAsia="ru-RU"/>
        </w:rPr>
      </w:pP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Банк России установил порядок ведения кассовых операций юридическими лицами и упрощенный порядок - для индивидуальных предпринимателей и субъектов малого предпринимательства</w:t>
      </w:r>
    </w:p>
    <w:p w:rsidR="00917C6E" w:rsidRPr="00917C6E" w:rsidRDefault="00917C6E" w:rsidP="00917C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Порядок действует с 1 июня 2014 года, а </w:t>
      </w:r>
      <w:hyperlink r:id="rId5" w:anchor="b38" w:history="1">
        <w:r w:rsidRPr="00917C6E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абз.5 п. 4" Указания</w:t>
        </w:r>
      </w:hyperlink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 1 января 2015 г.</w:t>
      </w:r>
    </w:p>
    <w:p w:rsidR="00917C6E" w:rsidRPr="00917C6E" w:rsidRDefault="00917C6E" w:rsidP="00917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  <w:t>Статус документа: </w:t>
      </w:r>
    </w:p>
    <w:p w:rsidR="00917C6E" w:rsidRPr="00917C6E" w:rsidRDefault="00917C6E" w:rsidP="00917C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Действует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23.05.2014</w:t>
      </w:r>
    </w:p>
    <w:p w:rsidR="00917C6E" w:rsidRPr="00917C6E" w:rsidRDefault="00917C6E" w:rsidP="00917C6E">
      <w:pPr>
        <w:spacing w:after="150" w:line="375" w:lineRule="atLeast"/>
        <w:jc w:val="center"/>
        <w:rPr>
          <w:rFonts w:ascii="Times New Roman" w:eastAsia="Times New Roman" w:hAnsi="Times New Roman" w:cs="Times New Roman"/>
          <w:caps/>
          <w:color w:val="00156A"/>
          <w:sz w:val="21"/>
          <w:szCs w:val="21"/>
          <w:lang w:eastAsia="ru-RU"/>
        </w:rPr>
      </w:pPr>
      <w:r w:rsidRPr="00917C6E">
        <w:rPr>
          <w:rFonts w:ascii="Times New Roman" w:eastAsia="Times New Roman" w:hAnsi="Times New Roman" w:cs="Times New Roman"/>
          <w:caps/>
          <w:color w:val="00156A"/>
          <w:sz w:val="21"/>
          <w:szCs w:val="21"/>
          <w:lang w:eastAsia="ru-RU"/>
        </w:rPr>
        <w:t>ЦЕНТРАЛЬНЫЙ БАНК РОССИЙСКОЙ ФЕДЕРАЦИИ</w:t>
      </w:r>
    </w:p>
    <w:p w:rsidR="00917C6E" w:rsidRPr="00917C6E" w:rsidRDefault="00917C6E" w:rsidP="00917C6E">
      <w:pPr>
        <w:spacing w:after="150" w:line="375" w:lineRule="atLeast"/>
        <w:jc w:val="center"/>
        <w:rPr>
          <w:rFonts w:ascii="Times New Roman" w:eastAsia="Times New Roman" w:hAnsi="Times New Roman" w:cs="Times New Roman"/>
          <w:caps/>
          <w:color w:val="00156A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caps/>
          <w:color w:val="00156A"/>
          <w:sz w:val="24"/>
          <w:szCs w:val="24"/>
          <w:lang w:eastAsia="ru-RU"/>
        </w:rPr>
        <w:t>УКАЗАНИЕ</w:t>
      </w:r>
    </w:p>
    <w:p w:rsidR="00917C6E" w:rsidRPr="00917C6E" w:rsidRDefault="00917C6E" w:rsidP="00917C6E">
      <w:pPr>
        <w:spacing w:after="150" w:line="375" w:lineRule="atLeast"/>
        <w:jc w:val="center"/>
        <w:rPr>
          <w:rFonts w:ascii="Times New Roman" w:eastAsia="Times New Roman" w:hAnsi="Times New Roman" w:cs="Times New Roman"/>
          <w:color w:val="00156A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color w:val="00156A"/>
          <w:sz w:val="24"/>
          <w:szCs w:val="24"/>
          <w:lang w:eastAsia="ru-RU"/>
        </w:rPr>
        <w:t>от 11 марта 2014 г. N 3210-У</w:t>
      </w:r>
    </w:p>
    <w:p w:rsidR="00917C6E" w:rsidRPr="00917C6E" w:rsidRDefault="00917C6E" w:rsidP="00917C6E">
      <w:pPr>
        <w:spacing w:after="150" w:line="375" w:lineRule="atLeast"/>
        <w:rPr>
          <w:rFonts w:ascii="Times New Roman" w:eastAsia="Times New Roman" w:hAnsi="Times New Roman" w:cs="Times New Roman"/>
          <w:color w:val="00156A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color w:val="00156A"/>
          <w:sz w:val="24"/>
          <w:szCs w:val="24"/>
          <w:lang w:eastAsia="ru-RU"/>
        </w:rPr>
        <w:t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</w:p>
    <w:p w:rsidR="00917C6E" w:rsidRPr="00917C6E" w:rsidRDefault="00917C6E" w:rsidP="0091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Указания Банка России от 03.02.2015 N 3558-У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также Указание Банка России </w:t>
      </w:r>
      <w:hyperlink r:id="rId6" w:history="1">
        <w:r w:rsidRPr="00917C6E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от 07.10.2013 N 3073-У</w:t>
        </w:r>
      </w:hyperlink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осуществлении наличных расчетов"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Указание на основании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</w:t>
      </w:r>
      <w:proofErr w:type="gram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30, ст. 3101; 2006, N 19, ст. 2061; N 25, ст. 2648; 2007, N 1, ст. 9, ст. 10; N 10, ст. 1151; N 18, ст. 2117; 2008, N 42, ст. 4696, ст. 4699; N 44, ст. 4982; N 52, ст. 6229, ст. 6231; 2009, N 1, ст. 25; N 29, ст. 3629; N 48, ст. 5731; 2010, N 45, ст. 5756; 2011, N 7, ст. 907; N 27, ст. 3873; N 43, ст. 5973; N 48, ст. 6728; 2012, N 50, ст. 6954; N 53, ст. 7591, ст. 7607; 2013, N 11, ст. 1076; N 14, ст. 1649; N 19, ст. 2329; N 27, ст. 3438, ст. 3476, ст. 3477; N 30, ст. 4084; N 49, ст. 6336; N 52, ст. 6975) определяет порядок ведения кассовых операций с банкнотами и монетой Банка России (далее - наличные деньги) на территории Российской Федерации юридическими лицами (за исключением Центрального банка Российской Федерации, кредитных организаций (далее - банк), а также упрощенный порядок ведения кассовых операций индивидуальными предпринимателями и субъектами малого предпринимательства.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Указания под субъектами малого предпринимательства понимаются юридические лица, отнесенные в соответствии с условиями, установленными Федеральным законом </w:t>
      </w:r>
      <w:hyperlink r:id="rId7" w:history="1">
        <w:r w:rsidRPr="00917C6E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от 24 июля 2007 года N 209-ФЗ</w:t>
        </w:r>
      </w:hyperlink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ст. 3616;</w:t>
      </w:r>
      <w:proofErr w:type="gram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2009, N 31, ст. 3923; N 52, ст. 6441; 2010, N 28, ст. 3553; 2011, N 27, ст. 3880; N 50, ст. 7343; 2013, N 27, ст. 3436, ст. 3477; N 30, ст. 4071; N 52, ст. 6961), к малым предприятиям, в том числе к </w:t>
      </w:r>
      <w:proofErr w:type="spell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бюджетных сре</w:t>
      </w: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ведении кассовых операций руководствуются настоящим Указанием, если иное не определено нормативным правовым актом, регулирующим порядок ведения кассовых операций получателями бюджетных средств.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ведения операций по приему наличных денег, включающих их пересчет, выдаче наличных денег (далее - кассовые операции) юридическое лицо распорядительным документом устанавливает максимально допустимую сумму наличных денег, которая </w:t>
      </w: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храниться в месте для проведения кассовых операций, определенном руководителем юридического лица (далее - касса), после выведения в кассовой книге 0310004 суммы остатка наличных денег на конец рабочего дня (далее - лимит остатка наличных денег</w:t>
      </w:r>
      <w:proofErr w:type="gram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самостоятельно определяет лимит остатка наличных денег в соответствии с </w:t>
      </w:r>
      <w:hyperlink r:id="rId8" w:anchor="b115" w:history="1">
        <w:r w:rsidRPr="00917C6E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приложением</w:t>
        </w:r>
      </w:hyperlink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Указанию, исходя из характера его деятельности с учетом объемов поступлений или объемов выдач наличных денег.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агент, осуществляющий деятельность в соответствии с Федеральным законом от 3 июня 2009 года N 103-ФЗ "О деятельности по приему платежей физических лиц, осуществляемой платежными агентами" (Собрание законодательства Российской Федерации, 2009, N 23, ст. 2758; N 48, ст. 5739; 2010, N 19, ст. 2291; 2011, N 27, ст. 3873) (далее - платежный агент), банковский платежный агент (субагент), осуществляющий деятельность в соответствии с Федеральным законом от 27 июня 2011 года N 161-ФЗ "О национальной платежной системе" (Собрание законодательства Российской Федерации, 2011, N 27, ст. 3872; 2012, N 53, ст. 7592; 2013, N 27, ст. 3477; N 30, ст. 4084) (далее - банковский платежный агент (субагент), при определении лимита остатка наличных денег не учитывают наличные деньги, принятые при осуществлении деятельности платежного агента, банковского платежного агента (субагента).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Подразделению юридического лица, по месту нахождения которого оборудуется обособленное рабочее место (рабочие места) (далее - обособленное подразделение), сдающему наличные деньги на банковский счет, открытый юридическому лицу в банке, лимит остатка наличных денег устанавливается в порядке, предусмотренном настоящим Указанием для юридического лица.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 в состав которого входят обособленные подразделения, сдающие наличные деньги в кассу юридического лица, определяет лимит остатка наличных денег с учетом лимитов остатка наличных денег, установленных этим обособленным подразделениям.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распорядительного документа об установлении обособленному подразделению лимита остатка наличных денег направляется юридическим лицом обособленному подразделению в порядке, установленном юридическим лицом.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 хранит </w:t>
      </w: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банковских счетах в банках денежные средства сверх установленного в соответствии </w:t>
      </w:r>
      <w:proofErr w:type="spell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hyperlink r:id="rId9" w:anchor="b19" w:history="1">
        <w:r w:rsidRPr="00917C6E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абзацами</w:t>
        </w:r>
        <w:proofErr w:type="spellEnd"/>
        <w:proofErr w:type="gramEnd"/>
        <w:r w:rsidRPr="00917C6E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 xml:space="preserve"> вторым</w:t>
        </w:r>
      </w:hyperlink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0" w:anchor="b22" w:history="1">
        <w:r w:rsidRPr="00917C6E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пятым</w:t>
        </w:r>
      </w:hyperlink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 лимита остатка наличных денег, являющиеся свободными денежными средствами.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юридическим лицом наличных денег в кассе сверх установленного лимита остатка наличных денег допускается в дни выплат заработной платы, стипендий, выплат, включенных в соответствии с методологией, принятой для заполнения форм федерального государственного статистического наблюдения, в фонд заработной платы и выплаты социального характера (далее - другие выплаты), включая день получения наличных денег с банковского счета на указанные выплаты, а также в выходные</w:t>
      </w:r>
      <w:proofErr w:type="gram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нерабочие праздничные дни в случае ведения юридическим лицом в эти дни кассовых операций.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 накопление юридическим лицом наличных денег в кассе сверх установленного лимита остатка наличных денег не допускается.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предприниматели, субъекты малого предпринимательства лимит остатка наличных денег могут не устанавливать.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представитель юридического лица сдает наличные деньги в банк или в организацию, входящую в систему Банка России, осуществляющую перевозку наличных денег, инкассацию наличных денег, операции по приему, пересчету, сортировке, </w:t>
      </w: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формированию и упаковке наличных денег клиентов банка (далее - организация, входящая в систему Банка России), для зачисления их сумм на банковский счет юридического лица.</w:t>
      </w:r>
      <w:proofErr w:type="gramEnd"/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обособленного подразделения может в порядке, установленном юридическим лицом, сдавать наличные деньги в кассу юридического лица или в банк, или в организацию, входящую в систему Банка России, для зачисления их сумм на банковский счет юридического лица.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Кассовые операции ведутся в кассе кассовым или иным работником, определенным руководителем юридического лица, индивидуальным предпринимателем или иным уполномоченным лицом (далее - руководитель) из числа своих работников (далее - кассир), с установлением ему соответствующих должностных прав и обязанностей, с которыми кассир должен ознакомиться под роспись. </w:t>
      </w: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Кассовые операции с физическими лицами, являющимися инвалидами по зрению, с использованием факсимильного воспроизведения их собственноручной подписи, проставляемого с помощью средства механического копирования, осуществляются с учетом требований статьи 14.1 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N 48, ст. 4563;</w:t>
      </w:r>
      <w:proofErr w:type="gram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1999, N 2, ст. 232; N 29, ст. 3693; 2001, N 24, ст. 2410; N 33, ст. 3426; N 53; ст. 5024; 2002, N 1, ст. 2; 2003, N 2, ст. 167; N 43, ст. 4108; 2004, N 35, ст. 3607; 2005, N 1, ст. 25; 2006, N 1, ст. 10;</w:t>
      </w:r>
      <w:proofErr w:type="gram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2007, N 43, ст. 5084; N 49, ст. 6070; 2008, N 9, ст. 817; N 29, ст. 3410; N 30, ст. 3616; N 52, ст. 6224; 2009, N 18, ст. 2152; N 30, ст. 3739; 2010, N 50, ст. 6609; 2011, N 27, ст. 3880; N 30, ст. 4596; N 45, ст. 6329;</w:t>
      </w:r>
      <w:proofErr w:type="gram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N 47, ст. 6608; N 49, ст. 7033; 2012, N 29, ст. 3990; N 30, ст. 4175; N 53, ст. 7621; 2013, N 8, ст. 717; N 19, ст. 2331; N 27, ст. 3460, ст. 3475, ст. 3477; N 48, ст. 6160; N 52, ст. 6986; 2014, N 26, ст. 3406;</w:t>
      </w:r>
      <w:proofErr w:type="gram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 4268) кассиром в присутствии работника, определенного в распорядительном документе юридического лица, индивидуального предпринимателя и не осуществляющего эту кассовую операцию.</w:t>
      </w:r>
      <w:proofErr w:type="gram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указанный работник до проведения кассовой операции устно доводит до сведения физического лица, являющегося инвалидом по зрению, информацию о характере осуществляемой кассовой операции и сумме операции (сумме наличных денег).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Указания Банка России от 03.02.2015 N 3558-У)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</w:t>
      </w: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ю</w:t>
      </w:r>
      <w:proofErr w:type="gram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ридического лица, индивидуального предпринимателя нескольких кассиров один из них выполняет функции старшего кассира (далее - старший кассир).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Кассовые операции могут проводиться руководителем.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 индивидуальный предприниматель могут вести кассовые операции с применением программно-технических средств.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Программно-технические средства, конструкция которых предусматривает прием банкнот Банка России, должны иметь функцию распознавания не менее четырех машиночитаемых защитных признаков банкнот Банка России, перечень которых установлен нормативным актом Банка России.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Кассовые операции оформляются приходными кассовыми ордерами 0310001, расходными кассовыми ордерами 0310002 (далее - кассовые документы).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предпринимателями, ведущими в соответствии с законодательством Российской Федерации о налогах и сборах учет доходов или доходов и расходов и (или) иных объектов налогообложения либо физических показателей, характеризующих определенный вид предпринимательской деятельности, кассовые документы могут не оформляться.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Кассовые документы оформляются: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бухгалтером;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бухгалтером или иным должностным лицом (в том числе кассиром), определенным в распорядительном документе, или должностным лицом юридического лица, физическим лицом, с которыми заключены договоры об оказании услуг по ведению бухгалтерского учета (далее - бухгалтер);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(при отсутствии главного бухгалтера и бухгалтера).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Кассовые документы подписываются главным бухгалтером или бухгалтером (при их отсутствии - руководителем), а также кассиром.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ведения кассовых операций и оформления кассовых документов руководителем кассовые документы подписываются руководителем.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Кассир снабжается печатью (штампом), содержащей (содержащим) реквизиты, подтверждающие проведение кассовой операции (далее - печать (штамп), а также образцами подписей лиц, уполномоченных подписывать кассовые документы.</w:t>
      </w:r>
      <w:proofErr w:type="gramEnd"/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ведения кассовых операций и оформления кассовых документов руководителем образцы подписей лиц, уполномоченных подписывать кассовые документы, не оформляются.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наличии старшего кассира операции по передаче наличных денег между старшим кассиром и кассирами в течение рабочего дня отражаются старшим кассиром в книге учета принятых и выданных кассиром денежных средств 0310005 с указанием сумм передаваемых наличных денег. Записи в книгу учета принятых и выданных кассиром денежных средств 0310005 осуществляются в момент передачи наличных денег и подтверждаются подписями старшего кассира, кассира.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Поступающие в кассу наличные деньги, за исключением наличных денег, принятых при осуществлении деятельности платежного агента, банковского платежного агента (субагента), и выдаваемые из кассы наличные деньги юридическое лицо учитывает в кассовой книге 0310004.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агент, банковский платежный агент (субагент) для учета наличных денег, принятых при осуществлении деятельности платежного агента, банковского платежного агента (субагента), ведет отдельную кассовую книгу 0310004.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кассовой книге 0310004 осуществляются кассиром по каждому приходному кассовому ордеру 0310001, расходному кассовому ордеру 0310002, оформленному соответственно на полученные, выданные наличные деньги (</w:t>
      </w: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оприходование в кассу наличных денег).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рабочего дня кассир сверяет данные, содержащиеся в кассовой книге 0310004, с данными кассовых документов, выводит в кассовой книге 0310004 сумму остатка наличных денег и проставляет подпись.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кассовой книге 0310004 сверяются с данными кассовых документов главным бухгалтером или бухгалтером (при их отсутствии - руководителем) и подписываются лицом, проводившим указанную сверку.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рабочего дня кассовые операции не проводились, записи в кассовую книгу 0310004 не осуществляются.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Обособленные подразделения передают юридическому лицу копию листа кассовой книги 0310004 в порядке, установленном юридическим лицом с учетом срока составления юридическим лицом бухгалтерской (финансовой) отчетности.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кассовой книги 0310004 осуществляет главный бухгалтер (при его отсутствии - руководитель).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индивидуальные предприниматели в соответствии с законодательством Российской Федерации о налогах и сборах ведут учет доходов или доходов и расходов и (или) иных объектов налогообложения либо физических показателей, характеризующих определенный вид предпринимательской деятельности, кассовая книга 0310004 ими может не вестись.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Документы, предусмотренные настоящим Указанием, могут оформляться на бумажном носителе или в электронном виде.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 бумажном носителе оформляются от руки или с применением технических средств, предназначенных для обработки информации, включая персональный компьютер и программное обеспечение (далее - технические средства), и подписываются собственноручными подписями. В документы, оформленные на бумажном носителе, за исключением кассовых документов, допускается внесение исправлений, содержащих дату исправления, фамилии и инициалы, а также подписи лиц, оформивших документы, в которые внесены исправления.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 электронном виде оформляются с применением технических средств с учетом обеспечения их защиты от несанкционированного доступа, искажений и потерь информации. </w:t>
      </w: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оформленные в электронном виде, подписываются электронными подписями в соответствии с требованиями Федерального закона от 6 апреля 2011 года N 63-ФЗ "Об электронной подписи" (Собрание законодательства Российской Федерации, 2011, N 15, ст. 2036; N 27, ст. 3880; 2012, N 29, ст. 3988; 2013, N 14, ст. 1668; N 27, ст. 3463, ст. 3477).</w:t>
      </w:r>
      <w:proofErr w:type="gram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документы, оформленные в электронном виде, внесение исправлений после подписания указанных документов не допускается.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документов, оформленных на бумажном носителе или в электронном виде, организуется руководителем.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Прием наличных денег юридическим лицом, индивидуальным предпринимателем, в том числе от лица, с которым заключен трудовой договор или договор гражданско-правового характера (далее - работник), проводится по приходным кассовым ордерам 0310001.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приходного кассового ордера 0310001 кассир проверяет наличие подписи главного бухгалтера или бухгалтера (при их отсутствии - наличие подписи руководителя) и ее соответствие образцу, за исключением случая, предусмотренного в </w:t>
      </w:r>
      <w:hyperlink r:id="rId11" w:anchor="b48" w:history="1">
        <w:r w:rsidRPr="00917C6E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абзаце втором подпункта 4.4 пункта 4</w:t>
        </w:r>
      </w:hyperlink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Указания, проверяет соответствие суммы наличных денег, проставленной цифрами, сумме наличных денег, проставленной прописью, наличие подтверждающих документов, перечисленных в приходном кассовом ордере 0310001.</w:t>
      </w:r>
      <w:proofErr w:type="gramEnd"/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Кассир принимает наличные деньги полистным, поштучным пересчетом.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Наличные деньги принимаются кассиром таким образом, чтобы </w:t>
      </w:r>
      <w:proofErr w:type="spell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вноситель</w:t>
      </w:r>
      <w:proofErr w:type="spell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наличных денег мог наблюдать за действиями кассира.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приема наличных денег кассир сверяет сумму, указанную в приходном кассовом ордере 0310001, с суммой фактически принятых наличных денег.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соответствии вносимой суммы наличных денег сумме, указанной в приходном кассовом ордере 0310001, кассир подписывает приходный кассовый ордер 0310001, проставляет на квитанции к приходному кассовому ордеру 0310001, выдаваемой </w:t>
      </w:r>
      <w:proofErr w:type="spell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вносителю</w:t>
      </w:r>
      <w:proofErr w:type="spell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наличных денег, оттиск печати (штампа) и выдает ему указанную квитанцию к приходному кассовому ордеру 0310001.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несоответствии вносимой суммы наличных денег сумме, указанной в приходном кассовом ордере 0310001, кассир предлагает </w:t>
      </w:r>
      <w:proofErr w:type="spell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вносителю</w:t>
      </w:r>
      <w:proofErr w:type="spell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наличных денег </w:t>
      </w:r>
      <w:proofErr w:type="spell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довнести</w:t>
      </w:r>
      <w:proofErr w:type="spell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недостающую сумму наличных денег или возвращает излишне вносимую сумму наличных денег. Если </w:t>
      </w:r>
      <w:proofErr w:type="spell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вноситель</w:t>
      </w:r>
      <w:proofErr w:type="spell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наличных денег отказался </w:t>
      </w:r>
      <w:proofErr w:type="spell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довнести</w:t>
      </w:r>
      <w:proofErr w:type="spell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недостающую сумму наличных денег, кассир возвращает ему вносимую сумму наличных денег. Приходный кассовый ордер 0310001 кассир перечеркивает и передает главному бухгалтеру или бухгалтеру (при их отсутствии - руководителю) для переоформления приходного кассового ордера 0310001 на фактически вносимую сумму наличных денег.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Приходный кассовый ордер 0310001 может оформляться по окончании проведения кассовых операций на основании контрольной ленты, изъятой из контрольно-кассовой техники, бланков строгой отчетности, приравненных к кассовому чеку, иных документов, предусмотренных Федеральным законом от 22 мая 2003 года N 54-ФЗ "О применении контрольно-кассовой техники при осуществлении наличных денежных расчетов и (или) расчетов с использованием платежных карт" (Собрание законодательства Российской Федерации, 2003, N</w:t>
      </w:r>
      <w:proofErr w:type="gram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21, ст. 1957; 2009, N 23, ст. 2776; N 29, ст. 3599; 2010, N 31, ст. 4161; 2011, N 27, ст. 3873; 2012, N 26, ст. 3447; 2013; N 19, ст. 2316; N 27, ст. 3477; </w:t>
      </w: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N 48, ст. 6165), на общую сумму принятых наличных денег, за исключением сумм наличных денег, принятых при осуществлении деятельности платежного агента, банковского платежного агента (субагента).</w:t>
      </w:r>
      <w:proofErr w:type="gramEnd"/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агент, банковский платежный агент (субагент) на общую сумму наличных денег, принятых при осуществлении деятельности платежного агента, банковского платежного агента (субагента), в порядке, предусмотренном в </w:t>
      </w:r>
      <w:hyperlink r:id="rId12" w:anchor="b70" w:history="1">
        <w:r w:rsidRPr="00917C6E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абзаце первом</w:t>
        </w:r>
      </w:hyperlink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подпункта, оформляет отдельный приходный кассовый ордер 0310001.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Прием в кассу юридического лица наличных денег, сдаваемых обособленным подразделением, осуществляется в порядке, установленном юридическим лицом, по приходному кассовому ордеру 0310001.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Выдача наличных денег проводится по расходным кассовым ордерам 0310002.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наличных денег для выплат заработной платы, стипендий и других выплат работникам проводится по расходным кассовым ордерам 0310002, расчетно-платежным ведомостям 0301009, платежным ведомостям 0301011.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расходного кассового ордера 0310002 (расчетно-платежной ведомости 0301009, платежной ведомости 0301011) кассир проверяет наличие подписи главного бухгалтера или бухгалтера (при их отсутствии - наличие подписи руководителя) и ее соответствие образцу, за исключением случая, предусмотренного в </w:t>
      </w:r>
      <w:hyperlink r:id="rId13" w:anchor="b48" w:history="1">
        <w:r w:rsidRPr="00917C6E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абзаце втором подпункта 4.4 пункта 4</w:t>
        </w:r>
      </w:hyperlink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Указания, соответствие сумм наличных денег, проставленных цифрами, суммам, проставленным прописью.</w:t>
      </w:r>
      <w:proofErr w:type="gram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выдаче наличных денег по расходному кассовому ордеру 0310002 кассир проверяет также наличие подтверждающих документов, перечисленных в расходном кассовом ордере 0310002.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Кассир выдает наличные деньги после проведения идентификации получателя наличных денег по предъявленному им паспорту или другому документу, удостоверяющему личность в соответствии с требованиями законодательства Российской Федерации (далее - документ, удостоверяющий личность), либо по предъявленным получателем наличных денег доверенности и документу, удостоверяющему личность.</w:t>
      </w:r>
      <w:proofErr w:type="gram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наличных денег </w:t>
      </w: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кассиром непосредственно получателю наличных денег, указанному в расходном кассовом ордере 0310002 (расчетно-платежной ведомости 0301009, платежной ведомости 0301011) или в доверенности.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наличных денег по доверенности кассир проверяет соответствие фамилии, имени, отчества (при наличии) получателя наличных денег, указанных в расходном кассовом ордере 0310002, фамилии, имени, отчеству (при наличии) доверителя, указанным в доверенности; соответствие указанных в доверенности и расходном кассовом ордере 0310002 фамилии, имени, отчества (при наличии) доверенного лица, данных документа, удостоверяющего личность, данным предъявленного доверенным лицом документа, удостоверяющего личность.</w:t>
      </w:r>
      <w:proofErr w:type="gram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расчетно-платежной ведомости 0301009 (платежной ведомости 0301011) перед подписью лица, которому доверено получение наличных денег, кассир делает запись "по доверенности". Доверенность прилагается к расходному кассовому ордеру 0310002 (расчетно-платежной ведомости 0301009, платежной ведомости 0301011).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выдачи наличных денег по доверенности, оформленной на несколько выплат или на получение наличных денег у разных юридических лиц, индивидуальных предпринимателей, делаются ее копии, которые заверяются в порядке, установленном юридическим лицом, индивидуальным предпринимателем. Заверенная копия доверенности прилагается к расходному кассовому ордеру 0310002 (расчетно-платежной ведомости 0301009, платежной ведомости 0301011). Оригинал доверенности (при наличии) хранится у кассира и при последней выдаче наличных денег прилагается к расходному кассовому ордеру 0310002 (расчетно-платежной ведомости 0301009, платежной ведомости 0301011).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выдаче наличных денег по расходному кассовому ордеру 0310002 кассир подготавливает сумму наличных денег, подлежащую выдаче, и передает расходный кассовый ордер 0310002 получателю наличных денег для проставления подписи.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Кассир пересчитывает подготовленную к выдаче сумму наличных денег таким образом, чтобы получатель наличных денег мог наблюдать за его действиями, и выдает получателю наличные деньги полистным, поштучным пересчетом в сумме, указанной в расходном кассовом ордере 0310002.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Кассир не принимает от получателя наличных денег претензии по сумме наличных денег, если получатель наличных денег не сверил в расходном кассовом ордере 0310002 соответствие сумм наличных денег, проставленных цифрами, суммам, проставленным прописью, и не пересчитал под наблюдением кассира полистно, поштучно полученные им наличные деньги.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выдачи наличных денег по расходному кассовому ордеру 0310002 кассир подписывает его.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выдачи наличных денег работнику под отчет (далее - подотчетное лицо) на расходы, связанные с осуществлением деятельности юридического лица, индивидуального предпринимателя, расходный кассовый ордер 0310002 оформляется согласно письменному заявлению подотчетного лица, составленному в произвольной форме и содержащему запись о сумме наличных денег и о сроке, на который выдаются наличные деньги, подпись руководителя и дату.</w:t>
      </w:r>
      <w:proofErr w:type="gramEnd"/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Подотчетное лицо обязано в срок, не превышающий трех рабочих дней после дня истечения срока, на который выданы наличные деньги под отчет, или со дня выхода на работу, предъявить главному бухгалтеру или бухгалтеру (при их отсутствии - руководителю) авансовый отчет с прилагаемыми подтверждающими документами. Проверка авансового отчета главным бухгалтером или бухгалтером (при их отсутствии - </w:t>
      </w: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руководителем), его утверждение руководителем и окончательный расчет по авансовому отчету осуществляются в срок, установленный руководителем.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Выдача из кассы юридического лица обособленному подразделению наличных денег, необходимых для проведения кассовых операций, осуществляется в порядке, установленном юридическим лицом, по расходному кассовому ордеру 0310002.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Предназначенная для выплат заработной платы, стипендий и других выплат сумма наличных денег устанавливается согласно расчетно-платежной ведомости 0301009 (платежной ведомости 0301011). Срок выдачи наличных денег на эти выплаты определяется руководителем и указывается в расчетно-платежной ведомости 0301009 (платежной ведомости 0301011). Продолжительность срока выдачи наличных денег по выплатам заработной платы, стипендий и другим выплатам не может превышать пяти рабочих дней (включая день получения наличных денег с банковского счета на указанные выплаты).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наличных денег работнику проводится в порядке, предусмотренном в </w:t>
      </w:r>
      <w:hyperlink r:id="rId14" w:anchor="b79" w:history="1">
        <w:r w:rsidRPr="00917C6E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абзацах первом</w:t>
        </w:r>
      </w:hyperlink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5" w:anchor="b81" w:history="1">
        <w:r w:rsidRPr="00917C6E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третьем подпункта 6.2</w:t>
        </w:r>
      </w:hyperlink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пункта, с проставлением работником подписи в расчетно-платежной ведомости 0301009 (платежной ведомости 0301011).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последний день выдачи наличных денег, предназначенных для выплат заработной платы, стипендий и других выплат, кассир в расчетно-платежной ведомости 0301009 (платежной ведомости 0301011) проставляет оттиск печати (штампа) или делает запись "депонировано" напротив фамилий и инициалов работников, которым не проведена выдача наличных денег, подсчитывает и записывает в итоговой строке сумму фактически выданных наличных денег и сумму, подлежащую депонированию, сверяет указанные суммы</w:t>
      </w:r>
      <w:proofErr w:type="gram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итоговой суммой в расчетно-платежной ведомости 0301009 (платежной ведомости 0301011), проставляет свою подпись на расчетно-платежной ведомости 0301009 (платежной ведомости 0301011) и передает ее для подписания главному бухгалтеру или бухгалтеру (при их отсутствии - руководителю).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фактически выданные суммы наличных денег по расчетно-платежной ведомости 0301009 (платежной ведомости 0301011) оформляется расходный кассовый ордер 0310002.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Мероприятия по обеспечению сохранности наличных денег при ведении кассовых операций, хранении, транспортировке, порядок и сроки проведения проверок фактического наличия наличных денег определяются юридическим лицом, индивидуальным предпринимателем.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Настоящее Указание подлежит официальному опубликованию в "Вестнике Банка России" и в соответствии с решением Совета директоров Банка России (протокол </w:t>
      </w: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директоров Банка России</w:t>
      </w:r>
      <w:proofErr w:type="gram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февраля 2014 года N 5) вступает в силу с 1 июня 2014 года, за исключением </w:t>
      </w:r>
      <w:hyperlink r:id="rId16" w:anchor="b38" w:history="1">
        <w:r w:rsidRPr="00917C6E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абзаца пятого пункта 4</w:t>
        </w:r>
      </w:hyperlink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</w:t>
      </w:r>
      <w:hyperlink r:id="rId17" w:anchor="b38" w:history="1">
        <w:r w:rsidRPr="00917C6E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Абзац пятый пункта 4</w:t>
        </w:r>
      </w:hyperlink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Указания вступает в силу с 1 января 2015 года.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силу настоящего Указания признать утратившим силу Положение Банка России от 12 октября 2011 года N 373-П "О порядке ведения кассовых операций с банкнотами и монетой Банка России на территории Российской Федерации", зарегистрированное Министерством юстиции Российской Федерации 24 ноября 2011 года N 22394 ("Вестник Банка России" от 30 ноября 2011 года N 66).</w:t>
      </w:r>
      <w:proofErr w:type="gramEnd"/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 </w:t>
      </w: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Центрального Банка </w:t>
      </w: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 </w:t>
      </w: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Э.С. </w:t>
      </w:r>
      <w:proofErr w:type="spellStart"/>
      <w:r w:rsidRPr="0091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Набиуллина</w:t>
      </w:r>
      <w:proofErr w:type="spellEnd"/>
    </w:p>
    <w:p w:rsidR="00917C6E" w:rsidRPr="00917C6E" w:rsidRDefault="00917C6E" w:rsidP="00917C6E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Приложение </w:t>
      </w:r>
      <w:r w:rsidRPr="00917C6E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br/>
        <w:t>к Указанию Банка России </w:t>
      </w:r>
      <w:r w:rsidRPr="00917C6E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br/>
        <w:t>от 11 марта 2014 г. N 3210-У </w:t>
      </w:r>
      <w:r w:rsidRPr="00917C6E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br/>
        <w:t>"О порядке ведения кассовых </w:t>
      </w:r>
      <w:r w:rsidRPr="00917C6E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br/>
        <w:t>операций юридическими лицами </w:t>
      </w:r>
      <w:r w:rsidRPr="00917C6E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br/>
        <w:t>и упрощенном порядке ведения </w:t>
      </w:r>
      <w:r w:rsidRPr="00917C6E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br/>
        <w:t>кассовых операций индивидуальными </w:t>
      </w:r>
      <w:r w:rsidRPr="00917C6E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br/>
        <w:t>предпринимателями и субъектами </w:t>
      </w:r>
      <w:r w:rsidRPr="00917C6E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br/>
        <w:t>малого предпринимательства"</w:t>
      </w:r>
    </w:p>
    <w:p w:rsidR="00917C6E" w:rsidRPr="00917C6E" w:rsidRDefault="00917C6E" w:rsidP="00917C6E">
      <w:pPr>
        <w:spacing w:before="270" w:after="150" w:line="240" w:lineRule="auto"/>
        <w:outlineLvl w:val="3"/>
        <w:rPr>
          <w:rFonts w:ascii="inherit" w:eastAsia="Times New Roman" w:hAnsi="inherit" w:cs="Times New Roman"/>
          <w:color w:val="00156A"/>
          <w:sz w:val="27"/>
          <w:szCs w:val="27"/>
          <w:lang w:eastAsia="ru-RU"/>
        </w:rPr>
      </w:pPr>
      <w:r w:rsidRPr="00917C6E">
        <w:rPr>
          <w:rFonts w:ascii="inherit" w:eastAsia="Times New Roman" w:hAnsi="inherit" w:cs="Times New Roman"/>
          <w:color w:val="00156A"/>
          <w:sz w:val="27"/>
          <w:szCs w:val="27"/>
          <w:lang w:eastAsia="ru-RU"/>
        </w:rPr>
        <w:t>Определение лимита остатка наличных денег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определения лимита остатка наличных денег юридическое лицо учитывает объем поступлений наличных денег за проданные товары, выполненные работы, оказанные услуги (вновь созданное юридическое лицо - ожидаемый объем поступлений наличных денег за проданные товары, выполненные работы, оказанные услуги).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остатка наличных денег рассчитывается по формуле: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> 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 xml:space="preserve"> 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> 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 xml:space="preserve"> 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> 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>V 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br/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> 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 xml:space="preserve"> L= —— × </w:t>
      </w:r>
      <w:proofErr w:type="spellStart"/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>N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16"/>
          <w:szCs w:val="16"/>
          <w:vertAlign w:val="subscript"/>
          <w:lang w:eastAsia="ru-RU"/>
        </w:rPr>
        <w:t>c</w:t>
      </w:r>
      <w:proofErr w:type="spellEnd"/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> , 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br/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> 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 xml:space="preserve"> 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> 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 xml:space="preserve"> 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> 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>P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</w:t>
      </w: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лимит остатка наличных денег в рублях;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объем поступлений наличных денег за проданные товары, выполненные работы, оказанные услуги за расчетный период в рублях (юридическое лицо, в состав которого входят обособленные подразделения, определяет объем поступлений наличных денег за проданные товары, выполненные работы, оказанные услуги, с учетом наличных денег, принятых за проданные товары, выполненные работы, оказанные услуги, обособленными подразделениями, за исключением случая, предусмотренного в </w:t>
      </w:r>
      <w:hyperlink r:id="rId18" w:anchor="b21" w:history="1">
        <w:r w:rsidRPr="00917C6E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абзаце четвертом пункта 2</w:t>
        </w:r>
        <w:proofErr w:type="gramEnd"/>
      </w:hyperlink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Указания);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</w:t>
      </w: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расчетный период, определяемый юридическим лицом, за который учитывается объем поступлений наличных денег за проданные товары, выполненные работы, оказанные услуги, в рабочих днях (при его определении могут учитываться периоды пиковых объемов поступлений наличных денег, а также динамика объемов поступлений наличных денег за аналогичные периоды прошлых лет; расчетный период составляет не более 92 рабочих дней юридического лица);</w:t>
      </w:r>
      <w:proofErr w:type="gramEnd"/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</w:t>
      </w:r>
      <w:r w:rsidRPr="00917C6E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ru-RU"/>
        </w:rPr>
        <w:t>c</w:t>
      </w:r>
      <w:proofErr w:type="spell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период времени между днями сдачи в банк юридическим лицом наличных денег, поступивших за проданные товары, выполненные работы, оказанные услуги, в рабочих днях. Указанный период времени не должен превышать семи рабочих дней, а при расположении юридического лица в населенном пункте, в котором отсутствует банк, - четырнадцати рабочих дней. В случае действия непреодолимой силы </w:t>
      </w:r>
      <w:proofErr w:type="spellStart"/>
      <w:r w:rsidRPr="0091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</w:t>
      </w:r>
      <w:r w:rsidRPr="00917C6E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ru-RU"/>
        </w:rPr>
        <w:t>c</w:t>
      </w:r>
      <w:proofErr w:type="spell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после прекращения действия непреодолимой силы.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сдаче наличных денег в банк один раз в три дня </w:t>
      </w:r>
      <w:proofErr w:type="spellStart"/>
      <w:r w:rsidRPr="0091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</w:t>
      </w:r>
      <w:r w:rsidRPr="00917C6E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ru-RU"/>
        </w:rPr>
        <w:t>c</w:t>
      </w:r>
      <w:proofErr w:type="spell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равен трем рабочим дням. При определении </w:t>
      </w:r>
      <w:proofErr w:type="spellStart"/>
      <w:r w:rsidRPr="0091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</w:t>
      </w:r>
      <w:r w:rsidRPr="00917C6E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ru-RU"/>
        </w:rPr>
        <w:t>c</w:t>
      </w:r>
      <w:proofErr w:type="spell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могут учитываться местонахождение, организационная </w:t>
      </w: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структура, специфика деятельности юридического лица (например, сезонность работы, режим рабочего времени).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определения лимита остатка наличных денег юридическое лицо учитывает объем выдач наличных денег (вновь созданное юридическое лицо - ожидаемый объем выдач наличных денег), за исключением сумм наличных денег, предназначенных для выплат заработной платы, стипендий и других выплат работникам.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остатка наличных денег рассчитывается по формуле: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> 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 xml:space="preserve"> 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> 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 xml:space="preserve"> 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> 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>R 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br/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> 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 xml:space="preserve"> L= —— × </w:t>
      </w:r>
      <w:proofErr w:type="spellStart"/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>N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16"/>
          <w:szCs w:val="16"/>
          <w:vertAlign w:val="subscript"/>
          <w:lang w:eastAsia="ru-RU"/>
        </w:rPr>
        <w:t>n</w:t>
      </w:r>
      <w:proofErr w:type="spellEnd"/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> , 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br/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> 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 xml:space="preserve"> 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> 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 xml:space="preserve"> 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> </w:t>
      </w:r>
      <w:r w:rsidRPr="00917C6E">
        <w:rPr>
          <w:rFonts w:ascii="Times New Roman" w:eastAsia="Times New Roman" w:hAnsi="Times New Roman" w:cs="Times New Roman"/>
          <w:b/>
          <w:bCs/>
          <w:color w:val="00156A"/>
          <w:sz w:val="24"/>
          <w:szCs w:val="24"/>
          <w:lang w:eastAsia="ru-RU"/>
        </w:rPr>
        <w:t>P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</w:t>
      </w: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лимит остатка наличных денег в рублях;</w:t>
      </w:r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объем выдач наличных денег, за исключением сумм наличных денег, предназначенных для выплат заработной платы, стипендий и других выплат работникам, за расчетный период в рублях (юридическим лицом, в состав которого входят обособленные подразделения, при определении объема выдач наличных денег учитываются наличные деньги, хранящиеся в этих обособленных подразделениях, за исключением случая, предусмотренного в </w:t>
      </w:r>
      <w:hyperlink r:id="rId19" w:anchor="b21" w:history="1">
        <w:r w:rsidRPr="00917C6E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абзаце четвертом пункта 2</w:t>
        </w:r>
      </w:hyperlink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Указания);</w:t>
      </w:r>
      <w:proofErr w:type="gramEnd"/>
    </w:p>
    <w:p w:rsidR="00917C6E" w:rsidRPr="00917C6E" w:rsidRDefault="00917C6E" w:rsidP="00917C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</w:t>
      </w:r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расчетный период, определяемый юридическим лицом, за который учитывается объем выдач наличных денег в рабочих днях (при его определении могут учитываться периоды пиковых объемов выдач наличных денег, а также динамика объемов выдач наличных денег за аналогичные периоды прошлых лет; расчетный период составляет не более 92 рабочих дней юридического лица);</w:t>
      </w:r>
    </w:p>
    <w:p w:rsidR="00917C6E" w:rsidRPr="00917C6E" w:rsidRDefault="00917C6E" w:rsidP="0091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</w:t>
      </w:r>
      <w:r w:rsidRPr="00917C6E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ru-RU"/>
        </w:rPr>
        <w:t>n</w:t>
      </w:r>
      <w:proofErr w:type="spell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период времени между днями получения по денежному чеку в банке юридическим лицом наличных денег, за исключением сумм наличных денег, предназначенных для выплат заработной платы, стипендий и других выплат работникам, в рабочих днях. Указанный период времени не должен превышать семи рабочих дней, а при расположении юридического лица в населенном пункте, в котором отсутствует банк, - четырнадцати рабочих дней. В случае действия непреодолимой силы </w:t>
      </w:r>
      <w:proofErr w:type="spellStart"/>
      <w:r w:rsidRPr="0091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</w:t>
      </w:r>
      <w:r w:rsidRPr="00917C6E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ru-RU"/>
        </w:rPr>
        <w:t>n</w:t>
      </w:r>
      <w:proofErr w:type="spellEnd"/>
      <w:r w:rsidRPr="0091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после прекращения действия непреодолимой силы</w:t>
      </w:r>
    </w:p>
    <w:p w:rsidR="008A47FD" w:rsidRDefault="008A47FD"/>
    <w:sectPr w:rsidR="008A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BB"/>
    <w:rsid w:val="001403BB"/>
    <w:rsid w:val="008A47FD"/>
    <w:rsid w:val="0091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17C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7C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C6E"/>
  </w:style>
  <w:style w:type="character" w:styleId="a3">
    <w:name w:val="Hyperlink"/>
    <w:basedOn w:val="a0"/>
    <w:uiPriority w:val="99"/>
    <w:semiHidden/>
    <w:unhideWhenUsed/>
    <w:rsid w:val="00917C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91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">
    <w:name w:val="organ"/>
    <w:basedOn w:val="a"/>
    <w:rsid w:val="0091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ype">
    <w:name w:val="doctype"/>
    <w:basedOn w:val="a"/>
    <w:rsid w:val="0091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e">
    <w:name w:val="docdate"/>
    <w:basedOn w:val="a"/>
    <w:rsid w:val="0091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name"/>
    <w:basedOn w:val="a"/>
    <w:rsid w:val="0091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rsid w:val="0091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">
    <w:name w:val="signature"/>
    <w:basedOn w:val="a"/>
    <w:rsid w:val="0091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lication">
    <w:name w:val="application"/>
    <w:basedOn w:val="a"/>
    <w:rsid w:val="0091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ula">
    <w:name w:val="formula"/>
    <w:basedOn w:val="a"/>
    <w:rsid w:val="0091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17C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7C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C6E"/>
  </w:style>
  <w:style w:type="character" w:styleId="a3">
    <w:name w:val="Hyperlink"/>
    <w:basedOn w:val="a0"/>
    <w:uiPriority w:val="99"/>
    <w:semiHidden/>
    <w:unhideWhenUsed/>
    <w:rsid w:val="00917C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91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">
    <w:name w:val="organ"/>
    <w:basedOn w:val="a"/>
    <w:rsid w:val="0091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ype">
    <w:name w:val="doctype"/>
    <w:basedOn w:val="a"/>
    <w:rsid w:val="0091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e">
    <w:name w:val="docdate"/>
    <w:basedOn w:val="a"/>
    <w:rsid w:val="0091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name"/>
    <w:basedOn w:val="a"/>
    <w:rsid w:val="0091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rsid w:val="0091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">
    <w:name w:val="signature"/>
    <w:basedOn w:val="a"/>
    <w:rsid w:val="0091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lication">
    <w:name w:val="application"/>
    <w:basedOn w:val="a"/>
    <w:rsid w:val="0091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ula">
    <w:name w:val="formula"/>
    <w:basedOn w:val="a"/>
    <w:rsid w:val="0091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9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92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20657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4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.ru/law/2395" TargetMode="External"/><Relationship Id="rId13" Type="http://schemas.openxmlformats.org/officeDocument/2006/relationships/hyperlink" Target="http://www.ib.ru/law/2395" TargetMode="External"/><Relationship Id="rId18" Type="http://schemas.openxmlformats.org/officeDocument/2006/relationships/hyperlink" Target="http://www.ib.ru/law/239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b.ru/law/3247" TargetMode="External"/><Relationship Id="rId12" Type="http://schemas.openxmlformats.org/officeDocument/2006/relationships/hyperlink" Target="http://www.ib.ru/law/2395" TargetMode="External"/><Relationship Id="rId17" Type="http://schemas.openxmlformats.org/officeDocument/2006/relationships/hyperlink" Target="http://www.ib.ru/law/23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b.ru/law/239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b.ru/law/2216" TargetMode="External"/><Relationship Id="rId11" Type="http://schemas.openxmlformats.org/officeDocument/2006/relationships/hyperlink" Target="http://www.ib.ru/law/2395" TargetMode="External"/><Relationship Id="rId5" Type="http://schemas.openxmlformats.org/officeDocument/2006/relationships/hyperlink" Target="http://www.ib.ru/law/2395" TargetMode="External"/><Relationship Id="rId15" Type="http://schemas.openxmlformats.org/officeDocument/2006/relationships/hyperlink" Target="http://www.ib.ru/law/2395" TargetMode="External"/><Relationship Id="rId10" Type="http://schemas.openxmlformats.org/officeDocument/2006/relationships/hyperlink" Target="http://www.ib.ru/law/2395" TargetMode="External"/><Relationship Id="rId19" Type="http://schemas.openxmlformats.org/officeDocument/2006/relationships/hyperlink" Target="http://www.ib.ru/law/23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.ru/law/2395" TargetMode="External"/><Relationship Id="rId14" Type="http://schemas.openxmlformats.org/officeDocument/2006/relationships/hyperlink" Target="http://www.ib.ru/law/2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4664</Words>
  <Characters>26588</Characters>
  <Application>Microsoft Office Word</Application>
  <DocSecurity>0</DocSecurity>
  <Lines>221</Lines>
  <Paragraphs>62</Paragraphs>
  <ScaleCrop>false</ScaleCrop>
  <Company/>
  <LinksUpToDate>false</LinksUpToDate>
  <CharactersWithSpaces>31190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2016-01-05T13:29:00Z</dcterms:created>
  <dcterms:modified xsi:type="dcterms:W3CDTF">2016-01-05T13:30:00Z</dcterms:modified>
</cp:coreProperties>
</file>