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40" w:rsidRPr="00C93540" w:rsidRDefault="00C93540" w:rsidP="00C93540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C93540">
        <w:rPr>
          <w:rFonts w:ascii="Verdana" w:eastAsia="Times New Roman" w:hAnsi="Verdana"/>
          <w:color w:val="646469"/>
          <w:sz w:val="24"/>
          <w:szCs w:val="24"/>
          <w:lang w:eastAsia="ru-RU"/>
        </w:rPr>
        <w:t>Назначение теста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Определение</w:t>
      </w:r>
      <w:r w:rsidRPr="00C93540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устойчивости внимания</w:t>
      </w:r>
      <w:r w:rsidRPr="00C93540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и динамики работоспособности. Используется для обследования лиц разных возрастов.</w:t>
      </w:r>
    </w:p>
    <w:p w:rsidR="00C93540" w:rsidRPr="00C93540" w:rsidRDefault="00C93540" w:rsidP="00C93540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C93540">
        <w:rPr>
          <w:rFonts w:ascii="Verdana" w:eastAsia="Times New Roman" w:hAnsi="Verdana"/>
          <w:color w:val="646469"/>
          <w:sz w:val="24"/>
          <w:szCs w:val="24"/>
          <w:lang w:eastAsia="ru-RU"/>
        </w:rPr>
        <w:t>Описание теста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Испытуемому поочередно предлагается пять </w:t>
      </w:r>
      <w:proofErr w:type="gramStart"/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таблиц</w:t>
      </w:r>
      <w:proofErr w:type="gramEnd"/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 на которых в произвольном порядке расположены числа от 1 до 25. Испытуемый отыскивает, показывает и называет числа в порядке их возрастания. Проба повторяется с пятью разными таблицами.</w:t>
      </w:r>
    </w:p>
    <w:p w:rsidR="00C93540" w:rsidRPr="00C93540" w:rsidRDefault="00C93540" w:rsidP="00C93540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C93540">
        <w:rPr>
          <w:rFonts w:ascii="Verdana" w:eastAsia="Times New Roman" w:hAnsi="Verdana"/>
          <w:color w:val="646469"/>
          <w:sz w:val="24"/>
          <w:szCs w:val="24"/>
          <w:lang w:eastAsia="ru-RU"/>
        </w:rPr>
        <w:t>Инструкция к тесту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Испытуемому предъявляют первую таблицу: «На этой таблице числа от 1 до 25 расположены не по порядку». Затем таблицу закрывают и продолжают: «Покажи и назови все числа по порядку от 1 до 25. Постарайся делать это как можно быстрее и без ошибок». Таблицу открывают и одновременно с началом выполнения задания включают секундомер. Вторая, третья и последующие таблицы предъявляются без всяких инструкций.</w:t>
      </w:r>
    </w:p>
    <w:p w:rsidR="00C93540" w:rsidRPr="00C93540" w:rsidRDefault="00C93540" w:rsidP="00C93540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C93540">
        <w:rPr>
          <w:rFonts w:ascii="Verdana" w:eastAsia="Times New Roman" w:hAnsi="Verdana"/>
          <w:color w:val="646469"/>
          <w:sz w:val="24"/>
          <w:szCs w:val="24"/>
          <w:lang w:eastAsia="ru-RU"/>
        </w:rPr>
        <w:t>Тестовый материал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jc w:val="center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hyperlink r:id="rId5" w:history="1">
        <w:r w:rsidRPr="00C93540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Методика - Таблицы Шульте" href="http://vsetesti.ru/wp-content/uploads/2007_04_12/shulte_01.jpg" style="width:165pt;height:123pt" o:button="t"/>
          </w:pict>
        </w:r>
      </w:hyperlink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br/>
      </w:r>
      <w:hyperlink r:id="rId6" w:history="1">
        <w:r w:rsidRPr="00C93540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 id="_x0000_i1026" type="#_x0000_t75" alt="Методика - Таблицы Шульте" href="http://vsetesti.ru/wp-content/uploads/2007_04_12/shulte_02.jpg" style="width:165pt;height:123pt" o:button="t"/>
          </w:pict>
        </w:r>
      </w:hyperlink>
      <w:hyperlink r:id="rId7" w:history="1">
        <w:r w:rsidRPr="00C93540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 id="_x0000_i1027" type="#_x0000_t75" alt="Методика - Таблицы Шульте" href="http://vsetesti.ru/wp-content/uploads/2007_04_12/shulte_03.jpg" style="width:165pt;height:123pt" o:button="t"/>
          </w:pict>
        </w:r>
      </w:hyperlink>
      <w:hyperlink r:id="rId8" w:history="1">
        <w:r w:rsidRPr="00C93540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 id="_x0000_i1028" type="#_x0000_t75" alt="Методика - Таблицы Шульте" href="http://vsetesti.ru/wp-content/uploads/2007_04_12/shulte_04.jpg" style="width:165pt;height:123pt" o:button="t"/>
          </w:pict>
        </w:r>
      </w:hyperlink>
      <w:hyperlink r:id="rId9" w:history="1">
        <w:r w:rsidRPr="00C93540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 id="_x0000_i1029" type="#_x0000_t75" alt="Методика - Таблицы Шульте" href="http://vsetesti.ru/wp-content/uploads/2007_04_12/shulte_05.jpg" style="width:165pt;height:123pt" o:button="t"/>
          </w:pict>
        </w:r>
      </w:hyperlink>
    </w:p>
    <w:p w:rsidR="00C93540" w:rsidRPr="00C93540" w:rsidRDefault="00C93540" w:rsidP="00C93540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C93540">
        <w:rPr>
          <w:rFonts w:ascii="Verdana" w:eastAsia="Times New Roman" w:hAnsi="Verdana"/>
          <w:color w:val="646469"/>
          <w:sz w:val="24"/>
          <w:szCs w:val="24"/>
          <w:lang w:eastAsia="ru-RU"/>
        </w:rPr>
        <w:t>Обработка и интерпретация результатов теста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Основной показатель – время выполнения, а так же количество ошибок отдельно по каждой таблице. По результатам выполнения каждой таблицы может быть построена "кривая истощаемости (утомляемости)", отражающая</w:t>
      </w:r>
      <w:r w:rsidRPr="00C93540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устойчивость внимания</w:t>
      </w:r>
      <w:r w:rsidRPr="00C93540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и работоспособность в динамике.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С помощью этого теста можно вычислить еще и такие показатели, как (</w:t>
      </w:r>
      <w:proofErr w:type="spellStart"/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по</w:t>
      </w:r>
      <w:r w:rsidRPr="00C93540">
        <w:rPr>
          <w:rFonts w:ascii="Verdana" w:eastAsia="Times New Roman" w:hAnsi="Verdana"/>
          <w:i/>
          <w:iCs/>
          <w:color w:val="BD5F17"/>
          <w:sz w:val="16"/>
          <w:lang w:eastAsia="ru-RU"/>
        </w:rPr>
        <w:t>А.Ю.Козыревой</w:t>
      </w:r>
      <w:proofErr w:type="spellEnd"/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):</w:t>
      </w:r>
    </w:p>
    <w:p w:rsidR="00C93540" w:rsidRPr="00C93540" w:rsidRDefault="00C93540" w:rsidP="00C93540">
      <w:pPr>
        <w:numPr>
          <w:ilvl w:val="0"/>
          <w:numId w:val="1"/>
        </w:numPr>
        <w:shd w:val="clear" w:color="auto" w:fill="FFFFFF"/>
        <w:spacing w:after="60" w:line="204" w:lineRule="atLeast"/>
        <w:ind w:left="480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эффективность работы (ЭР),</w:t>
      </w:r>
    </w:p>
    <w:p w:rsidR="00C93540" w:rsidRPr="00C93540" w:rsidRDefault="00C93540" w:rsidP="00C93540">
      <w:pPr>
        <w:numPr>
          <w:ilvl w:val="0"/>
          <w:numId w:val="1"/>
        </w:numPr>
        <w:shd w:val="clear" w:color="auto" w:fill="FFFFFF"/>
        <w:spacing w:after="60" w:line="204" w:lineRule="atLeast"/>
        <w:ind w:left="480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lastRenderedPageBreak/>
        <w:t>степень врабатываемости (ВР),</w:t>
      </w:r>
    </w:p>
    <w:p w:rsidR="00C93540" w:rsidRPr="00C93540" w:rsidRDefault="00C93540" w:rsidP="00C93540">
      <w:pPr>
        <w:numPr>
          <w:ilvl w:val="0"/>
          <w:numId w:val="1"/>
        </w:numPr>
        <w:shd w:val="clear" w:color="auto" w:fill="FFFFFF"/>
        <w:spacing w:after="60" w:line="204" w:lineRule="atLeast"/>
        <w:ind w:left="480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психическая устойчивость (ПУ).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Эффективность работы</w:t>
      </w:r>
      <w:r w:rsidRPr="00C93540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(ЭР) вычисляется по формуле: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ЭР = (Т</w:t>
      </w:r>
      <w:proofErr w:type="gramStart"/>
      <w:r w:rsidRPr="00C93540">
        <w:rPr>
          <w:rFonts w:ascii="Verdana" w:eastAsia="Times New Roman" w:hAnsi="Verdana"/>
          <w:b/>
          <w:bCs/>
          <w:color w:val="BD5F17"/>
          <w:sz w:val="16"/>
          <w:vertAlign w:val="subscript"/>
          <w:lang w:eastAsia="ru-RU"/>
        </w:rPr>
        <w:t>1</w:t>
      </w:r>
      <w:proofErr w:type="gramEnd"/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 + Т</w:t>
      </w:r>
      <w:r w:rsidRPr="00C93540">
        <w:rPr>
          <w:rFonts w:ascii="Verdana" w:eastAsia="Times New Roman" w:hAnsi="Verdana"/>
          <w:b/>
          <w:bCs/>
          <w:color w:val="BD5F17"/>
          <w:sz w:val="16"/>
          <w:vertAlign w:val="subscript"/>
          <w:lang w:eastAsia="ru-RU"/>
        </w:rPr>
        <w:t>2</w:t>
      </w: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 + Т</w:t>
      </w:r>
      <w:r w:rsidRPr="00C93540">
        <w:rPr>
          <w:rFonts w:ascii="Verdana" w:eastAsia="Times New Roman" w:hAnsi="Verdana"/>
          <w:b/>
          <w:bCs/>
          <w:color w:val="BD5F17"/>
          <w:sz w:val="16"/>
          <w:vertAlign w:val="subscript"/>
          <w:lang w:eastAsia="ru-RU"/>
        </w:rPr>
        <w:t>3</w:t>
      </w: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 + Т</w:t>
      </w:r>
      <w:r w:rsidRPr="00C93540">
        <w:rPr>
          <w:rFonts w:ascii="Verdana" w:eastAsia="Times New Roman" w:hAnsi="Verdana"/>
          <w:b/>
          <w:bCs/>
          <w:color w:val="BD5F17"/>
          <w:sz w:val="16"/>
          <w:vertAlign w:val="subscript"/>
          <w:lang w:eastAsia="ru-RU"/>
        </w:rPr>
        <w:t>4</w:t>
      </w: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 + Т</w:t>
      </w:r>
      <w:r w:rsidRPr="00C93540">
        <w:rPr>
          <w:rFonts w:ascii="Verdana" w:eastAsia="Times New Roman" w:hAnsi="Verdana"/>
          <w:b/>
          <w:bCs/>
          <w:color w:val="BD5F17"/>
          <w:sz w:val="16"/>
          <w:vertAlign w:val="subscript"/>
          <w:lang w:eastAsia="ru-RU"/>
        </w:rPr>
        <w:t>5</w:t>
      </w: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) / 5</w:t>
      </w: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, где</w:t>
      </w:r>
    </w:p>
    <w:p w:rsidR="00C93540" w:rsidRPr="00C93540" w:rsidRDefault="00C93540" w:rsidP="00C93540">
      <w:pPr>
        <w:numPr>
          <w:ilvl w:val="0"/>
          <w:numId w:val="2"/>
        </w:numPr>
        <w:shd w:val="clear" w:color="auto" w:fill="FFFFFF"/>
        <w:spacing w:after="60" w:line="204" w:lineRule="atLeast"/>
        <w:ind w:left="480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proofErr w:type="spellStart"/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Т</w:t>
      </w:r>
      <w:proofErr w:type="gramStart"/>
      <w:r w:rsidRPr="00C93540">
        <w:rPr>
          <w:rFonts w:ascii="Verdana" w:eastAsia="Times New Roman" w:hAnsi="Verdana"/>
          <w:b/>
          <w:bCs/>
          <w:color w:val="BD5F17"/>
          <w:sz w:val="16"/>
          <w:vertAlign w:val="subscript"/>
          <w:lang w:eastAsia="ru-RU"/>
        </w:rPr>
        <w:t>i</w:t>
      </w:r>
      <w:proofErr w:type="spellEnd"/>
      <w:proofErr w:type="gramEnd"/>
      <w:r w:rsidRPr="00C93540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– время работы с i-той таблицей.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Оценка ЭР (в секундах) производится с учетом возраста испытуемого.</w:t>
      </w:r>
    </w:p>
    <w:tbl>
      <w:tblPr>
        <w:tblW w:w="6948" w:type="dxa"/>
        <w:tblCellSpacing w:w="0" w:type="dxa"/>
        <w:tblBorders>
          <w:top w:val="single" w:sz="4" w:space="0" w:color="DDDEDE"/>
          <w:left w:val="single" w:sz="4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50"/>
        <w:gridCol w:w="1451"/>
        <w:gridCol w:w="1007"/>
        <w:gridCol w:w="1007"/>
        <w:gridCol w:w="1007"/>
        <w:gridCol w:w="1426"/>
      </w:tblGrid>
      <w:tr w:rsidR="00C93540" w:rsidRPr="00C93540" w:rsidTr="00C93540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jc w:val="center"/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jc w:val="center"/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  <w:t>5 баллов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jc w:val="center"/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jc w:val="center"/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jc w:val="center"/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jc w:val="center"/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  <w:t>1 балл</w:t>
            </w:r>
          </w:p>
        </w:tc>
      </w:tr>
      <w:tr w:rsidR="00C93540" w:rsidRPr="00C93540" w:rsidTr="00C93540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jc w:val="center"/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45 и меньше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46-55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56-65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66-75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76 и больше</w:t>
            </w:r>
          </w:p>
        </w:tc>
      </w:tr>
      <w:tr w:rsidR="00C93540" w:rsidRPr="00C93540" w:rsidTr="00C93540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jc w:val="center"/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35 и меньше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36-45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46-55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56-65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66 и больше</w:t>
            </w:r>
          </w:p>
        </w:tc>
      </w:tr>
      <w:tr w:rsidR="00C93540" w:rsidRPr="00C93540" w:rsidTr="00C93540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jc w:val="center"/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b/>
                <w:bCs/>
                <w:sz w:val="13"/>
                <w:szCs w:val="13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30 и меньше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31-35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36-45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46-55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4" w:space="0" w:color="DDDEDE"/>
              <w:right w:val="single" w:sz="4" w:space="0" w:color="DDDEDE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3540" w:rsidRPr="00C93540" w:rsidRDefault="00C93540" w:rsidP="00C93540">
            <w:pPr>
              <w:spacing w:before="240" w:after="240"/>
              <w:rPr>
                <w:rFonts w:eastAsia="Times New Roman"/>
                <w:sz w:val="13"/>
                <w:szCs w:val="13"/>
                <w:lang w:eastAsia="ru-RU"/>
              </w:rPr>
            </w:pPr>
            <w:r w:rsidRPr="00C93540">
              <w:rPr>
                <w:rFonts w:eastAsia="Times New Roman"/>
                <w:sz w:val="13"/>
                <w:szCs w:val="13"/>
                <w:lang w:eastAsia="ru-RU"/>
              </w:rPr>
              <w:t>56 и больше</w:t>
            </w:r>
          </w:p>
        </w:tc>
      </w:tr>
    </w:tbl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Степень врабатываемости</w:t>
      </w:r>
      <w:r w:rsidRPr="00C93540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(ВР) вычисляется по формуле: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ВР= Т</w:t>
      </w:r>
      <w:proofErr w:type="gramStart"/>
      <w:r w:rsidRPr="00C93540">
        <w:rPr>
          <w:rFonts w:ascii="Verdana" w:eastAsia="Times New Roman" w:hAnsi="Verdana"/>
          <w:b/>
          <w:bCs/>
          <w:color w:val="BD5F17"/>
          <w:sz w:val="16"/>
          <w:vertAlign w:val="subscript"/>
          <w:lang w:eastAsia="ru-RU"/>
        </w:rPr>
        <w:t>1</w:t>
      </w:r>
      <w:proofErr w:type="gramEnd"/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 / ЭР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Результат меньше 1,0 – показатель хорошей врабатываемости, соответственно, чем выше 1,0 данный показатель, тем больше испытуемому требуется подготовка к основной работе.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Психическая устойчивость</w:t>
      </w:r>
      <w:r w:rsidRPr="00C93540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(выносливость) вычисляется по формуле: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ПУ= Т</w:t>
      </w:r>
      <w:proofErr w:type="gramStart"/>
      <w:r w:rsidRPr="00C93540">
        <w:rPr>
          <w:rFonts w:ascii="Verdana" w:eastAsia="Times New Roman" w:hAnsi="Verdana"/>
          <w:b/>
          <w:bCs/>
          <w:color w:val="BD5F17"/>
          <w:sz w:val="16"/>
          <w:vertAlign w:val="subscript"/>
          <w:lang w:eastAsia="ru-RU"/>
        </w:rPr>
        <w:t>4</w:t>
      </w:r>
      <w:proofErr w:type="gramEnd"/>
      <w:r w:rsidRPr="00C93540">
        <w:rPr>
          <w:rFonts w:ascii="Verdana" w:eastAsia="Times New Roman" w:hAnsi="Verdana"/>
          <w:b/>
          <w:bCs/>
          <w:color w:val="BD5F17"/>
          <w:sz w:val="16"/>
          <w:lang w:eastAsia="ru-RU"/>
        </w:rPr>
        <w:t> / ЭР</w:t>
      </w:r>
    </w:p>
    <w:p w:rsidR="00C93540" w:rsidRPr="00C93540" w:rsidRDefault="00C93540" w:rsidP="00C93540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C93540">
        <w:rPr>
          <w:rFonts w:ascii="Verdana" w:eastAsia="Times New Roman" w:hAnsi="Verdana"/>
          <w:color w:val="333333"/>
          <w:sz w:val="16"/>
          <w:szCs w:val="16"/>
          <w:lang w:eastAsia="ru-RU"/>
        </w:rPr>
        <w:t>Показатель результата меньше 1,0 говорит о хорошей психической устойчивости, соответственно, чем выше данный показатель, тем хуже психическая устойчивость испытуемого к выполнению заданий.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79E"/>
    <w:multiLevelType w:val="multilevel"/>
    <w:tmpl w:val="29A6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07EEF"/>
    <w:multiLevelType w:val="multilevel"/>
    <w:tmpl w:val="CB82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40"/>
    <w:rsid w:val="001972EC"/>
    <w:rsid w:val="00527A1E"/>
    <w:rsid w:val="00C03E92"/>
    <w:rsid w:val="00C9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paragraph" w:styleId="5">
    <w:name w:val="heading 5"/>
    <w:basedOn w:val="a"/>
    <w:link w:val="50"/>
    <w:uiPriority w:val="9"/>
    <w:qFormat/>
    <w:rsid w:val="00C93540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93540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35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540"/>
  </w:style>
  <w:style w:type="character" w:styleId="a4">
    <w:name w:val="Strong"/>
    <w:basedOn w:val="a0"/>
    <w:uiPriority w:val="22"/>
    <w:qFormat/>
    <w:rsid w:val="00C93540"/>
    <w:rPr>
      <w:b/>
      <w:bCs/>
    </w:rPr>
  </w:style>
  <w:style w:type="paragraph" w:customStyle="1" w:styleId="aligncenter">
    <w:name w:val="aligncenter"/>
    <w:basedOn w:val="a"/>
    <w:rsid w:val="00C935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3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testi.ru/wp-content/uploads/2007_04_12/shulte_0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testi.ru/wp-content/uploads/2007_04_12/shulte_0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testi.ru/wp-content/uploads/2007_04_12/shulte_02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setesti.ru/wp-content/uploads/2007_04_12/shulte_0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etesti.ru/wp-content/uploads/2007_04_12/shulte_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2016-09-28T08:37:00Z</dcterms:created>
  <dcterms:modified xsi:type="dcterms:W3CDTF">2016-09-28T08:38:00Z</dcterms:modified>
</cp:coreProperties>
</file>